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669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5D8E5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2D63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条件及佐证材料要求</w:t>
      </w:r>
    </w:p>
    <w:p w14:paraId="7F9F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 w14:paraId="511D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认定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条件</w:t>
      </w:r>
    </w:p>
    <w:p w14:paraId="219B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 w14:paraId="7DEB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 w14:paraId="60FB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 w14:paraId="66DA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 w14:paraId="3E1C1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10C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04FF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和复核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 w14:paraId="5529F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 w14:paraId="339C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2421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721BB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7655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 w14:paraId="41F3B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 w14:paraId="6557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 w14:paraId="39C5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 w14:paraId="15BDC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 w14:paraId="7F3D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 w14:paraId="0B5F0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400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 w14:paraId="498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480D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22EF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67CA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4.2024年度财务数据佐证材料（2024年度审计报告正文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 w14:paraId="6C3E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0227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6.2022年以来未发生重大安全（含网络安全、数据安全）、质量、环境污染等事故以及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 w14:paraId="2A5B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 w14:paraId="0956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 w14:paraId="1E6A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02CF4BAA"/>
    <w:rsid w:val="06102888"/>
    <w:rsid w:val="0DA41D5A"/>
    <w:rsid w:val="130C7927"/>
    <w:rsid w:val="1439681D"/>
    <w:rsid w:val="1E9166F9"/>
    <w:rsid w:val="2CCF18B6"/>
    <w:rsid w:val="2FF142BE"/>
    <w:rsid w:val="3DBF6136"/>
    <w:rsid w:val="3E8F1850"/>
    <w:rsid w:val="412D22A2"/>
    <w:rsid w:val="46414B07"/>
    <w:rsid w:val="59BF4230"/>
    <w:rsid w:val="5ACB17AA"/>
    <w:rsid w:val="6AAC0AAD"/>
    <w:rsid w:val="6C6C63C5"/>
    <w:rsid w:val="6CB50335"/>
    <w:rsid w:val="70AB6872"/>
    <w:rsid w:val="77FF6411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1848</Characters>
  <Lines>0</Lines>
  <Paragraphs>0</Paragraphs>
  <TotalTime>9</TotalTime>
  <ScaleCrop>false</ScaleCrop>
  <LinksUpToDate>false</LinksUpToDate>
  <CharactersWithSpaces>1848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2022-10-15T01:49:00Z</dcterms:created>
  <dc:creator>ttt</dc:creator>
  <cp:lastModifiedBy>陈松林</cp:lastModifiedBy>
  <cp:lastPrinted>2025-09-24T03:42:00Z</cp:lastPrinted>
  <dcterms:modified xsi:type="dcterms:W3CDTF">2025-09-24T07:55:17Z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eyJoZGlkIjoiOTg3ODI2ZWM5MzIwMzI5ODE4MWM1Mjc3YzExMTk1OWMiLCJ1c2VySWQiOiI3MTc1NDI3OTIifQ==</vt:lpwstr>
  </property>
  <property fmtid="{D5CDD505-2E9C-101B-9397-08002B2CF9AE}" pid="4" name="ICV">
    <vt:lpwstr>EDEBA6BE599B44EBA4B94E8EAF8078F4_12</vt:lpwstr>
  </property>
</Properties>
</file>