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after="0" w:line="560" w:lineRule="exact"/>
        <w:jc w:val="left"/>
        <w:textAlignment w:val="auto"/>
        <w:rPr>
          <w:rFonts w:hint="eastAsia" w:ascii="CESI仿宋-GB13000" w:hAnsi="CESI仿宋-GB13000" w:eastAsia="CESI仿宋-GB13000" w:cs="CESI仿宋-GB13000"/>
          <w:b/>
          <w:bCs/>
          <w:i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CESI仿宋-GB13000" w:hAnsi="CESI仿宋-GB13000" w:eastAsia="CESI仿宋-GB13000" w:cs="CESI仿宋-GB13000"/>
          <w:b/>
          <w:bCs/>
          <w:i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附件2</w:t>
      </w:r>
    </w:p>
    <w:p>
      <w:pPr>
        <w:pStyle w:val="2"/>
        <w:rPr>
          <w:rFonts w:hint="eastAsia"/>
          <w:lang w:val="en-US" w:eastAsia="zh-CN"/>
        </w:rPr>
      </w:pPr>
    </w:p>
    <w:p>
      <w:pPr>
        <w:widowControl w:val="0"/>
        <w:wordWrap/>
        <w:adjustRightInd/>
        <w:snapToGrid/>
        <w:spacing w:after="0" w:line="560" w:lineRule="exact"/>
        <w:jc w:val="center"/>
        <w:textAlignment w:val="auto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shd w:val="clear" w:color="auto" w:fill="FFFFFF"/>
          <w:lang w:val="en-US" w:eastAsia="zh-CN"/>
        </w:rPr>
        <w:t>武汉市“无废工厂”申报书</w:t>
      </w:r>
    </w:p>
    <w:p>
      <w:pPr>
        <w:widowControl w:val="0"/>
        <w:wordWrap/>
        <w:autoSpaceDN w:val="0"/>
        <w:adjustRightInd/>
        <w:snapToGrid/>
        <w:spacing w:after="0" w:line="540" w:lineRule="exact"/>
        <w:ind w:firstLine="643" w:firstLineChars="200"/>
        <w:jc w:val="both"/>
        <w:textAlignment w:val="auto"/>
        <w:rPr>
          <w:rFonts w:hint="eastAsia" w:ascii="Times New Roman" w:hAnsi="Times New Roman" w:eastAsia="楷体" w:cs="Times New Roman"/>
          <w:b/>
          <w:bCs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after="0" w:line="300" w:lineRule="auto"/>
        <w:ind w:firstLine="643" w:firstLineChars="200"/>
        <w:jc w:val="both"/>
        <w:textAlignment w:val="auto"/>
        <w:rPr>
          <w:rFonts w:hint="eastAsia" w:ascii="Times New Roman" w:hAnsi="Times New Roman" w:eastAsia="楷体" w:cs="Times New Roman"/>
          <w:b/>
          <w:bCs w:val="0"/>
          <w:sz w:val="32"/>
          <w:szCs w:val="32"/>
          <w:lang w:eastAsia="zh-CN"/>
        </w:rPr>
      </w:pPr>
    </w:p>
    <w:p>
      <w:pPr>
        <w:pStyle w:val="4"/>
        <w:rPr>
          <w:rFonts w:hint="eastAsia" w:ascii="Times New Roman" w:hAnsi="Times New Roman" w:eastAsia="楷体" w:cs="Times New Roman"/>
          <w:b/>
          <w:bCs w:val="0"/>
          <w:sz w:val="32"/>
          <w:szCs w:val="32"/>
          <w:lang w:eastAsia="zh-CN"/>
        </w:rPr>
      </w:pPr>
    </w:p>
    <w:p>
      <w:pPr>
        <w:pStyle w:val="4"/>
        <w:rPr>
          <w:rFonts w:hint="eastAsia" w:ascii="Times New Roman" w:hAnsi="Times New Roman" w:eastAsia="楷体" w:cs="Times New Roman"/>
          <w:b/>
          <w:bCs w:val="0"/>
          <w:sz w:val="32"/>
          <w:szCs w:val="32"/>
          <w:lang w:eastAsia="zh-CN"/>
        </w:rPr>
      </w:pPr>
    </w:p>
    <w:p>
      <w:pPr>
        <w:pStyle w:val="4"/>
        <w:rPr>
          <w:rFonts w:hint="eastAsia" w:ascii="Times New Roman" w:hAnsi="Times New Roman" w:eastAsia="楷体" w:cs="Times New Roman"/>
          <w:b/>
          <w:bCs w:val="0"/>
          <w:sz w:val="32"/>
          <w:szCs w:val="32"/>
          <w:lang w:eastAsia="zh-CN"/>
        </w:rPr>
      </w:pPr>
    </w:p>
    <w:p>
      <w:pPr>
        <w:pStyle w:val="4"/>
        <w:rPr>
          <w:rFonts w:hint="eastAsia" w:ascii="Times New Roman" w:hAnsi="Times New Roman" w:eastAsia="楷体" w:cs="Times New Roman"/>
          <w:b/>
          <w:bCs w:val="0"/>
          <w:sz w:val="32"/>
          <w:szCs w:val="32"/>
          <w:lang w:eastAsia="zh-CN"/>
        </w:rPr>
      </w:pPr>
    </w:p>
    <w:p>
      <w:pPr>
        <w:pStyle w:val="4"/>
        <w:rPr>
          <w:rFonts w:hint="eastAsia" w:ascii="Times New Roman" w:hAnsi="Times New Roman" w:eastAsia="楷体" w:cs="Times New Roman"/>
          <w:b/>
          <w:bCs w:val="0"/>
          <w:sz w:val="32"/>
          <w:szCs w:val="32"/>
          <w:lang w:eastAsia="zh-CN"/>
        </w:rPr>
      </w:pPr>
    </w:p>
    <w:p>
      <w:pPr>
        <w:pStyle w:val="4"/>
        <w:rPr>
          <w:rFonts w:hint="eastAsia" w:ascii="Times New Roman" w:hAnsi="Times New Roman" w:eastAsia="楷体" w:cs="Times New Roman"/>
          <w:b/>
          <w:bCs w:val="0"/>
          <w:sz w:val="32"/>
          <w:szCs w:val="32"/>
          <w:lang w:eastAsia="zh-CN"/>
        </w:rPr>
      </w:pPr>
    </w:p>
    <w:p>
      <w:pPr>
        <w:pStyle w:val="4"/>
        <w:rPr>
          <w:rFonts w:hint="eastAsia" w:ascii="Times New Roman" w:hAnsi="Times New Roman" w:eastAsia="楷体" w:cs="Times New Roman"/>
          <w:b/>
          <w:bCs w:val="0"/>
          <w:sz w:val="32"/>
          <w:szCs w:val="32"/>
          <w:lang w:eastAsia="zh-CN"/>
        </w:rPr>
      </w:pPr>
    </w:p>
    <w:p>
      <w:pPr>
        <w:spacing w:line="560" w:lineRule="exact"/>
        <w:ind w:firstLine="964" w:firstLineChars="300"/>
        <w:contextualSpacing/>
        <w:jc w:val="left"/>
        <w:rPr>
          <w:rFonts w:hint="default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sz w:val="32"/>
          <w:szCs w:val="32"/>
        </w:rPr>
        <w:t>申报单位：</w:t>
      </w:r>
      <w:r>
        <w:rPr>
          <w:rFonts w:hint="eastAsia" w:ascii="宋体" w:hAnsi="宋体" w:cs="宋体"/>
          <w:b/>
          <w:bCs/>
          <w:sz w:val="32"/>
          <w:szCs w:val="32"/>
          <w:u w:val="single"/>
          <w:lang w:eastAsia="zh-CN"/>
        </w:rPr>
        <w:t xml:space="preserve"> </w:t>
      </w:r>
      <w:r>
        <w:rPr>
          <w:rFonts w:hint="eastAsia" w:ascii="宋体" w:hAnsi="宋体" w:cs="宋体"/>
          <w:b/>
          <w:bCs/>
          <w:sz w:val="32"/>
          <w:szCs w:val="32"/>
          <w:u w:val="single"/>
          <w:lang w:val="en-US" w:eastAsia="zh-CN"/>
        </w:rPr>
        <w:t xml:space="preserve">                                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 xml:space="preserve">                    </w:t>
      </w:r>
    </w:p>
    <w:p>
      <w:pPr>
        <w:spacing w:line="560" w:lineRule="exact"/>
        <w:ind w:left="1682" w:leftChars="801" w:firstLine="215" w:firstLineChars="67"/>
        <w:contextualSpacing/>
        <w:jc w:val="center"/>
        <w:rPr>
          <w:rFonts w:hint="eastAsia" w:ascii="宋体" w:hAnsi="宋体" w:cs="宋体"/>
          <w:b/>
          <w:bCs/>
          <w:sz w:val="32"/>
          <w:szCs w:val="32"/>
        </w:rPr>
      </w:pPr>
    </w:p>
    <w:p>
      <w:pPr>
        <w:spacing w:line="560" w:lineRule="exact"/>
        <w:ind w:firstLine="964" w:firstLineChars="300"/>
        <w:contextualSpacing/>
        <w:jc w:val="both"/>
        <w:rPr>
          <w:rFonts w:hint="default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sz w:val="32"/>
          <w:szCs w:val="32"/>
        </w:rPr>
        <w:t>所属</w:t>
      </w:r>
      <w:r>
        <w:rPr>
          <w:rFonts w:hint="eastAsia" w:ascii="宋体" w:hAnsi="宋体" w:cs="宋体"/>
          <w:b/>
          <w:bCs/>
          <w:sz w:val="32"/>
          <w:szCs w:val="32"/>
          <w:lang w:eastAsia="zh-CN"/>
        </w:rPr>
        <w:t>区</w:t>
      </w:r>
      <w:r>
        <w:rPr>
          <w:rFonts w:hint="eastAsia" w:ascii="宋体" w:hAnsi="宋体" w:cs="宋体"/>
          <w:b/>
          <w:bCs/>
          <w:sz w:val="32"/>
          <w:szCs w:val="32"/>
        </w:rPr>
        <w:t>：</w:t>
      </w:r>
      <w:r>
        <w:rPr>
          <w:rFonts w:hint="eastAsia" w:ascii="宋体" w:hAnsi="宋体" w:cs="宋体"/>
          <w:b/>
          <w:bCs/>
          <w:sz w:val="32"/>
          <w:szCs w:val="32"/>
          <w:u w:val="single"/>
          <w:lang w:eastAsia="zh-CN"/>
        </w:rPr>
        <w:t xml:space="preserve"> </w:t>
      </w:r>
      <w:r>
        <w:rPr>
          <w:rFonts w:hint="eastAsia" w:ascii="宋体" w:hAnsi="宋体" w:cs="宋体"/>
          <w:b/>
          <w:bCs/>
          <w:sz w:val="32"/>
          <w:szCs w:val="32"/>
          <w:u w:val="single"/>
          <w:lang w:val="en-US" w:eastAsia="zh-CN"/>
        </w:rPr>
        <w:t xml:space="preserve">                                  </w:t>
      </w:r>
      <w:r>
        <w:rPr>
          <w:rFonts w:hint="eastAsia" w:ascii="宋体" w:hAnsi="宋体" w:cs="宋体"/>
          <w:b/>
          <w:bCs/>
          <w:sz w:val="32"/>
          <w:szCs w:val="32"/>
        </w:rPr>
        <w:t xml:space="preserve"> 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 xml:space="preserve">                     </w:t>
      </w:r>
    </w:p>
    <w:p>
      <w:pPr>
        <w:spacing w:line="560" w:lineRule="exact"/>
        <w:ind w:left="1682" w:leftChars="801" w:firstLine="215" w:firstLineChars="67"/>
        <w:contextualSpacing/>
        <w:rPr>
          <w:rFonts w:hint="eastAsia" w:ascii="宋体" w:hAnsi="宋体" w:cs="宋体"/>
          <w:b/>
          <w:bCs/>
          <w:sz w:val="32"/>
          <w:szCs w:val="32"/>
        </w:rPr>
      </w:pPr>
    </w:p>
    <w:p>
      <w:pPr>
        <w:spacing w:line="560" w:lineRule="exact"/>
        <w:ind w:firstLine="964" w:firstLineChars="300"/>
        <w:contextualSpacing/>
        <w:rPr>
          <w:rFonts w:hint="default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sz w:val="32"/>
          <w:szCs w:val="32"/>
        </w:rPr>
        <w:t>申报日期：</w:t>
      </w:r>
      <w:r>
        <w:rPr>
          <w:rFonts w:hint="eastAsia" w:ascii="宋体" w:hAnsi="宋体" w:cs="宋体"/>
          <w:b/>
          <w:bCs/>
          <w:sz w:val="32"/>
          <w:szCs w:val="32"/>
          <w:u w:val="single"/>
          <w:lang w:eastAsia="zh-CN"/>
        </w:rPr>
        <w:t xml:space="preserve"> </w:t>
      </w:r>
      <w:r>
        <w:rPr>
          <w:rFonts w:hint="eastAsia" w:ascii="宋体" w:hAnsi="宋体" w:cs="宋体"/>
          <w:b/>
          <w:bCs/>
          <w:sz w:val="32"/>
          <w:szCs w:val="32"/>
          <w:u w:val="single"/>
          <w:lang w:val="en-US" w:eastAsia="zh-CN"/>
        </w:rPr>
        <w:t xml:space="preserve">                                </w:t>
      </w:r>
      <w:r>
        <w:rPr>
          <w:rFonts w:hint="eastAsia" w:ascii="宋体" w:hAnsi="宋体" w:cs="宋体"/>
          <w:b/>
          <w:bCs/>
          <w:sz w:val="32"/>
          <w:szCs w:val="32"/>
        </w:rPr>
        <w:t xml:space="preserve">   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 xml:space="preserve">                     </w:t>
      </w:r>
    </w:p>
    <w:p>
      <w:pPr>
        <w:spacing w:line="360" w:lineRule="auto"/>
        <w:jc w:val="center"/>
        <w:rPr>
          <w:rFonts w:hint="default" w:ascii="Times New Roman" w:hAnsi="Times New Roman" w:eastAsia="仿宋" w:cs="Times New Roman"/>
          <w:bCs/>
          <w:sz w:val="32"/>
          <w:szCs w:val="32"/>
        </w:rPr>
      </w:pPr>
    </w:p>
    <w:p>
      <w:pPr>
        <w:pStyle w:val="4"/>
        <w:rPr>
          <w:rFonts w:hint="default" w:ascii="Times New Roman" w:hAnsi="Times New Roman" w:eastAsia="仿宋" w:cs="Times New Roman"/>
          <w:bCs/>
          <w:sz w:val="32"/>
          <w:szCs w:val="32"/>
        </w:rPr>
      </w:pPr>
    </w:p>
    <w:p>
      <w:pPr>
        <w:pStyle w:val="4"/>
        <w:rPr>
          <w:rFonts w:hint="default" w:ascii="Times New Roman" w:hAnsi="Times New Roman" w:eastAsia="仿宋" w:cs="Times New Roman"/>
          <w:bCs/>
          <w:sz w:val="32"/>
          <w:szCs w:val="32"/>
        </w:rPr>
      </w:pPr>
    </w:p>
    <w:p>
      <w:pPr>
        <w:pStyle w:val="4"/>
        <w:rPr>
          <w:rFonts w:hint="default" w:ascii="Times New Roman" w:hAnsi="Times New Roman" w:eastAsia="仿宋" w:cs="Times New Roman"/>
          <w:bCs/>
          <w:sz w:val="32"/>
          <w:szCs w:val="32"/>
        </w:rPr>
      </w:pPr>
    </w:p>
    <w:p>
      <w:pPr>
        <w:pStyle w:val="4"/>
        <w:rPr>
          <w:rFonts w:hint="default" w:ascii="Times New Roman" w:hAnsi="Times New Roman" w:eastAsia="仿宋" w:cs="Times New Roman"/>
          <w:bCs/>
          <w:sz w:val="32"/>
          <w:szCs w:val="32"/>
        </w:rPr>
      </w:pPr>
    </w:p>
    <w:p>
      <w:pPr>
        <w:pStyle w:val="4"/>
        <w:rPr>
          <w:rFonts w:hint="default" w:ascii="Times New Roman" w:hAnsi="Times New Roman" w:eastAsia="仿宋" w:cs="Times New Roman"/>
          <w:bCs/>
          <w:sz w:val="32"/>
          <w:szCs w:val="32"/>
        </w:rPr>
      </w:pPr>
    </w:p>
    <w:p>
      <w:pPr>
        <w:spacing w:line="360" w:lineRule="auto"/>
        <w:jc w:val="both"/>
        <w:rPr>
          <w:rFonts w:hint="default" w:ascii="Times New Roman" w:hAnsi="Times New Roman" w:eastAsia="仿宋" w:cs="Times New Roman"/>
          <w:bCs/>
          <w:sz w:val="32"/>
          <w:szCs w:val="32"/>
        </w:rPr>
      </w:pPr>
    </w:p>
    <w:tbl>
      <w:tblPr>
        <w:tblStyle w:val="5"/>
        <w:tblW w:w="88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5"/>
        <w:gridCol w:w="2409"/>
        <w:gridCol w:w="1560"/>
        <w:gridCol w:w="60"/>
        <w:gridCol w:w="25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8829" w:type="dxa"/>
            <w:gridSpan w:val="5"/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" w:cs="Times New Roman"/>
                <w:b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kern w:val="0"/>
                <w:sz w:val="24"/>
                <w:lang w:val="en-US" w:eastAsia="zh-CN"/>
              </w:rPr>
              <w:t>企业</w:t>
            </w:r>
            <w:r>
              <w:rPr>
                <w:rFonts w:hint="default" w:ascii="Times New Roman" w:hAnsi="Times New Roman" w:eastAsia="仿宋" w:cs="Times New Roman"/>
                <w:b/>
                <w:kern w:val="0"/>
                <w:sz w:val="24"/>
              </w:rPr>
              <w:t>基本信息</w:t>
            </w:r>
            <w:r>
              <w:rPr>
                <w:rFonts w:hint="eastAsia" w:ascii="Times New Roman" w:hAnsi="Times New Roman" w:eastAsia="仿宋" w:cs="Times New Roman"/>
                <w:b/>
                <w:kern w:val="0"/>
                <w:sz w:val="24"/>
                <w:lang w:val="en-US" w:eastAsia="zh-CN"/>
              </w:rPr>
              <w:t>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223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24"/>
                <w:lang w:val="en-US" w:eastAsia="zh-CN"/>
              </w:rPr>
              <w:t>企业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名称</w:t>
            </w:r>
          </w:p>
        </w:tc>
        <w:tc>
          <w:tcPr>
            <w:tcW w:w="6594" w:type="dxa"/>
            <w:gridSpan w:val="4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223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24"/>
                <w:lang w:val="en-US" w:eastAsia="zh-CN"/>
              </w:rPr>
              <w:t>企业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地址</w:t>
            </w:r>
          </w:p>
        </w:tc>
        <w:tc>
          <w:tcPr>
            <w:tcW w:w="6594" w:type="dxa"/>
            <w:gridSpan w:val="4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223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/>
              </w:rPr>
              <w:t>所属行业</w:t>
            </w:r>
          </w:p>
        </w:tc>
        <w:tc>
          <w:tcPr>
            <w:tcW w:w="24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</w:tc>
        <w:tc>
          <w:tcPr>
            <w:tcW w:w="1620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24"/>
                <w:lang w:val="en-US" w:eastAsia="zh-CN"/>
              </w:rPr>
              <w:t>从业人数</w:t>
            </w:r>
          </w:p>
        </w:tc>
        <w:tc>
          <w:tcPr>
            <w:tcW w:w="256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223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单位性质</w:t>
            </w:r>
          </w:p>
        </w:tc>
        <w:tc>
          <w:tcPr>
            <w:tcW w:w="6594" w:type="dxa"/>
            <w:gridSpan w:val="4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内资（□国有□集体□民营）□中外合资□港澳台□外商独资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223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/>
              </w:rPr>
              <w:t>主要产品</w:t>
            </w:r>
          </w:p>
        </w:tc>
        <w:tc>
          <w:tcPr>
            <w:tcW w:w="6594" w:type="dxa"/>
            <w:gridSpan w:val="4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23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24"/>
                <w:lang w:val="en-US" w:eastAsia="zh-CN"/>
              </w:rPr>
              <w:t>生产能力</w:t>
            </w:r>
          </w:p>
        </w:tc>
        <w:tc>
          <w:tcPr>
            <w:tcW w:w="2409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24"/>
                <w:lang w:val="en-US" w:eastAsia="zh-CN"/>
              </w:rPr>
              <w:t>实际产量</w:t>
            </w:r>
          </w:p>
        </w:tc>
        <w:tc>
          <w:tcPr>
            <w:tcW w:w="2625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</w:trPr>
        <w:tc>
          <w:tcPr>
            <w:tcW w:w="223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24"/>
                <w:lang w:val="en-US" w:eastAsia="zh-CN"/>
              </w:rPr>
              <w:t>营业收入</w:t>
            </w:r>
          </w:p>
        </w:tc>
        <w:tc>
          <w:tcPr>
            <w:tcW w:w="2409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24"/>
                <w:lang w:val="en-US" w:eastAsia="zh-CN"/>
              </w:rPr>
              <w:t>利润总额</w:t>
            </w:r>
          </w:p>
        </w:tc>
        <w:tc>
          <w:tcPr>
            <w:tcW w:w="2625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223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24"/>
                <w:lang w:val="en-US" w:eastAsia="zh-CN"/>
              </w:rPr>
              <w:t>企业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法定代表人</w:t>
            </w:r>
          </w:p>
        </w:tc>
        <w:tc>
          <w:tcPr>
            <w:tcW w:w="24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法人代表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电话</w:t>
            </w:r>
          </w:p>
        </w:tc>
        <w:tc>
          <w:tcPr>
            <w:tcW w:w="2625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223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24"/>
                <w:lang w:val="en-US" w:eastAsia="zh-CN"/>
              </w:rPr>
              <w:t>企业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联系人</w:t>
            </w:r>
          </w:p>
        </w:tc>
        <w:tc>
          <w:tcPr>
            <w:tcW w:w="2409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联系人电话</w:t>
            </w:r>
          </w:p>
        </w:tc>
        <w:tc>
          <w:tcPr>
            <w:tcW w:w="2625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223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电子邮件</w:t>
            </w:r>
          </w:p>
        </w:tc>
        <w:tc>
          <w:tcPr>
            <w:tcW w:w="2409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传真</w:t>
            </w:r>
          </w:p>
        </w:tc>
        <w:tc>
          <w:tcPr>
            <w:tcW w:w="2625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4" w:hRule="atLeast"/>
        </w:trPr>
        <w:tc>
          <w:tcPr>
            <w:tcW w:w="8829" w:type="dxa"/>
            <w:gridSpan w:val="5"/>
            <w:noWrap w:val="0"/>
            <w:vAlign w:val="center"/>
          </w:tcPr>
          <w:p>
            <w:pPr>
              <w:widowControl/>
              <w:spacing w:line="360" w:lineRule="auto"/>
              <w:ind w:firstLine="480" w:firstLineChars="200"/>
              <w:jc w:val="left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本</w:t>
            </w:r>
            <w:r>
              <w:rPr>
                <w:rFonts w:hint="eastAsia" w:ascii="Times New Roman" w:hAnsi="Times New Roman" w:eastAsia="仿宋" w:cs="Times New Roman"/>
                <w:kern w:val="0"/>
                <w:sz w:val="24"/>
                <w:lang w:val="en-US" w:eastAsia="zh-CN"/>
              </w:rPr>
              <w:t>企业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承诺，</w:t>
            </w:r>
            <w:r>
              <w:rPr>
                <w:rFonts w:hint="eastAsia" w:ascii="Times New Roman" w:hAnsi="Times New Roman" w:eastAsia="仿宋" w:cs="Times New Roman"/>
                <w:kern w:val="0"/>
                <w:sz w:val="24"/>
                <w:lang w:val="en-US" w:eastAsia="zh-CN"/>
              </w:rPr>
              <w:t>上报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材料真实有效</w:t>
            </w:r>
            <w:r>
              <w:rPr>
                <w:rFonts w:hint="eastAsia" w:ascii="Times New Roman" w:hAnsi="Times New Roman" w:eastAsia="仿宋" w:cs="Times New Roman"/>
                <w:kern w:val="0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若存在弄虚作假，本</w:t>
            </w:r>
            <w:r>
              <w:rPr>
                <w:rFonts w:hint="eastAsia" w:ascii="Times New Roman" w:hAnsi="Times New Roman" w:eastAsia="仿宋" w:cs="Times New Roman"/>
                <w:kern w:val="0"/>
                <w:sz w:val="24"/>
                <w:lang w:val="en-US" w:eastAsia="zh-CN"/>
              </w:rPr>
              <w:t>企业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愿承担责任。</w:t>
            </w:r>
          </w:p>
          <w:p>
            <w:pPr>
              <w:widowControl/>
              <w:wordWrap w:val="0"/>
              <w:spacing w:line="360" w:lineRule="auto"/>
              <w:ind w:right="240"/>
              <w:jc w:val="right"/>
              <w:rPr>
                <w:rFonts w:hint="default" w:ascii="Times New Roman" w:hAnsi="Times New Roman" w:eastAsia="仿宋" w:cs="Times New Roman"/>
                <w:b/>
                <w:kern w:val="0"/>
                <w:sz w:val="24"/>
              </w:rPr>
            </w:pPr>
          </w:p>
          <w:p>
            <w:pPr>
              <w:widowControl/>
              <w:spacing w:line="360" w:lineRule="auto"/>
              <w:ind w:right="720"/>
              <w:jc w:val="center"/>
              <w:rPr>
                <w:rFonts w:hint="default" w:ascii="Times New Roman" w:hAnsi="Times New Roman" w:eastAsia="仿宋" w:cs="Times New Roman"/>
                <w:b/>
                <w:kern w:val="0"/>
                <w:sz w:val="24"/>
              </w:rPr>
            </w:pPr>
            <w:r>
              <w:rPr>
                <w:rFonts w:hint="eastAsia" w:ascii="Times New Roman" w:hAnsi="Times New Roman" w:eastAsia="仿宋" w:cs="Times New Roman"/>
                <w:b/>
                <w:kern w:val="0"/>
                <w:sz w:val="24"/>
                <w:lang w:val="en-US" w:eastAsia="zh-CN"/>
              </w:rPr>
              <w:t xml:space="preserve">                  </w:t>
            </w:r>
            <w:r>
              <w:rPr>
                <w:rFonts w:hint="default" w:ascii="Times New Roman" w:hAnsi="Times New Roman" w:eastAsia="仿宋" w:cs="Times New Roman"/>
                <w:b/>
                <w:kern w:val="0"/>
                <w:sz w:val="24"/>
              </w:rPr>
              <w:t xml:space="preserve">              负责人签字：             </w:t>
            </w:r>
          </w:p>
          <w:p>
            <w:pPr>
              <w:widowControl/>
              <w:spacing w:line="360" w:lineRule="auto"/>
              <w:ind w:right="240"/>
              <w:jc w:val="right"/>
              <w:rPr>
                <w:rFonts w:hint="default" w:ascii="Times New Roman" w:hAnsi="Times New Roman" w:eastAsia="仿宋" w:cs="Times New Roman"/>
                <w:b/>
                <w:kern w:val="0"/>
                <w:sz w:val="24"/>
              </w:rPr>
            </w:pPr>
          </w:p>
          <w:p>
            <w:pPr>
              <w:widowControl/>
              <w:ind w:firstLine="5060" w:firstLineChars="2100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kern w:val="0"/>
                <w:sz w:val="24"/>
              </w:rPr>
              <w:t>（单位公章）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after="0" w:line="300" w:lineRule="auto"/>
        <w:jc w:val="both"/>
        <w:textAlignment w:val="auto"/>
        <w:rPr>
          <w:rFonts w:hint="eastAsia" w:ascii="Times New Roman" w:hAnsi="Times New Roman" w:eastAsia="楷体" w:cs="Times New Roman"/>
          <w:b/>
          <w:bCs w:val="0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after="0" w:line="300" w:lineRule="auto"/>
        <w:ind w:firstLine="643" w:firstLineChars="200"/>
        <w:jc w:val="both"/>
        <w:textAlignment w:val="auto"/>
        <w:rPr>
          <w:rFonts w:ascii="Times New Roman" w:hAnsi="Times New Roman" w:eastAsia="楷体" w:cs="Times New Roman"/>
          <w:b/>
          <w:bCs w:val="0"/>
          <w:sz w:val="32"/>
          <w:szCs w:val="32"/>
        </w:rPr>
      </w:pPr>
      <w:r>
        <w:rPr>
          <w:rFonts w:hint="eastAsia" w:ascii="Times New Roman" w:hAnsi="Times New Roman" w:eastAsia="楷体" w:cs="Times New Roman"/>
          <w:b/>
          <w:bCs w:val="0"/>
          <w:sz w:val="32"/>
          <w:szCs w:val="32"/>
        </w:rPr>
        <w:t>（一）企业基本情况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after="0" w:line="300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企业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简介。</w:t>
      </w:r>
    </w:p>
    <w:p>
      <w:pPr>
        <w:autoSpaceDN w:val="0"/>
        <w:spacing w:line="30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企业生产工艺、生产设备、生产技术水平等情况。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after="0" w:line="300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3、企业</w:t>
      </w:r>
      <w:r>
        <w:rPr>
          <w:rFonts w:hint="eastAsia" w:ascii="仿宋_GB2312" w:hAnsi="仿宋_GB2312" w:eastAsia="仿宋_GB2312" w:cs="仿宋_GB2312"/>
          <w:sz w:val="32"/>
          <w:szCs w:val="32"/>
        </w:rPr>
        <w:t>工业资源综合利用数量、品种、来源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等情况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after="0" w:line="300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企业废物产生、利用处置以及贮存情况。</w:t>
      </w:r>
    </w:p>
    <w:p>
      <w:pPr>
        <w:autoSpaceDN w:val="0"/>
        <w:spacing w:line="300" w:lineRule="auto"/>
        <w:ind w:firstLine="640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5、企业利用处置设施、贮存设施建设及运行情况。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after="0" w:line="300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6、企业获得相关荣誉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after="0" w:line="300" w:lineRule="auto"/>
        <w:ind w:firstLine="643" w:firstLineChars="200"/>
        <w:jc w:val="both"/>
        <w:textAlignment w:val="auto"/>
        <w:rPr>
          <w:rFonts w:ascii="Times New Roman" w:hAnsi="Times New Roman" w:eastAsia="楷体" w:cs="Times New Roman"/>
          <w:b/>
          <w:bCs w:val="0"/>
          <w:sz w:val="32"/>
          <w:szCs w:val="32"/>
        </w:rPr>
      </w:pPr>
      <w:r>
        <w:rPr>
          <w:rFonts w:hint="eastAsia" w:ascii="Times New Roman" w:hAnsi="Times New Roman" w:eastAsia="楷体" w:cs="Times New Roman"/>
          <w:b/>
          <w:bCs w:val="0"/>
          <w:sz w:val="32"/>
          <w:szCs w:val="32"/>
        </w:rPr>
        <w:t>（</w:t>
      </w:r>
      <w:r>
        <w:rPr>
          <w:rFonts w:hint="eastAsia" w:ascii="Times New Roman" w:hAnsi="Times New Roman" w:eastAsia="楷体" w:cs="Times New Roman"/>
          <w:b/>
          <w:bCs w:val="0"/>
          <w:sz w:val="32"/>
          <w:szCs w:val="32"/>
          <w:lang w:val="en-US" w:eastAsia="zh-CN"/>
        </w:rPr>
        <w:t>二</w:t>
      </w:r>
      <w:r>
        <w:rPr>
          <w:rFonts w:hint="eastAsia" w:ascii="Times New Roman" w:hAnsi="Times New Roman" w:eastAsia="楷体" w:cs="Times New Roman"/>
          <w:b/>
          <w:bCs w:val="0"/>
          <w:sz w:val="32"/>
          <w:szCs w:val="32"/>
        </w:rPr>
        <w:t>）工业固体废物源头减量情况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after="0" w:line="300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1、近三年工业固体废物产生强度情况。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（至少包括企业近三年实施的降低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工业固体废物产生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强度的举措并计算近三年产生的强度值。）</w:t>
      </w:r>
    </w:p>
    <w:p>
      <w:pPr>
        <w:pStyle w:val="4"/>
        <w:jc w:val="center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表2.1  近三年工业固体废物产生强度统计表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2392"/>
        <w:gridCol w:w="1440"/>
        <w:gridCol w:w="2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  <w:t>年份</w:t>
            </w:r>
          </w:p>
        </w:tc>
        <w:tc>
          <w:tcPr>
            <w:tcW w:w="2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400" w:lineRule="exact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  <w:t>工业固体废物产生量（万吨）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400" w:lineRule="exact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  <w:t>工业增加值（万元）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400" w:lineRule="exact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  <w:t>工业固体废物产生强度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400" w:lineRule="exact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  <w:t>（万吨/万元）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30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30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30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30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30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30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30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30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30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30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30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30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after="0" w:line="300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实施清洁生产情况。（至少包括企业开始实施清洁生产年份，具体措施（包括但不限于以下方面：1）先进的管理理念、生产工艺、生产设备情况；2）减少原材料、尤其是有害物质的使用情况；3）使用回收料、可回收材料替代原生材料、不可回收材料情况；4）绿色采购、绿色供应链管理情况）等方面，达到效果等情况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after="0" w:line="300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3、开展绿色工厂建设情况。（至少包括企业创建绿色工厂年份，获得的等级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（国家、省级），具体措施及达到效果等情况。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after="0" w:line="300" w:lineRule="auto"/>
        <w:ind w:firstLine="643" w:firstLineChars="200"/>
        <w:jc w:val="both"/>
        <w:textAlignment w:val="auto"/>
        <w:rPr>
          <w:rFonts w:hint="eastAsia" w:ascii="Times New Roman" w:hAnsi="Times New Roman" w:eastAsia="楷体" w:cs="Times New Roman"/>
          <w:b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楷体" w:cs="Times New Roman"/>
          <w:b/>
          <w:bCs w:val="0"/>
          <w:sz w:val="32"/>
          <w:szCs w:val="32"/>
          <w:lang w:val="en-US" w:eastAsia="zh-CN"/>
        </w:rPr>
        <w:t>（三）工业固体废物资源化利用</w:t>
      </w:r>
      <w:r>
        <w:rPr>
          <w:rFonts w:hint="eastAsia" w:ascii="Times New Roman" w:hAnsi="Times New Roman" w:eastAsia="楷体" w:cs="Times New Roman"/>
          <w:b/>
          <w:bCs w:val="0"/>
          <w:sz w:val="32"/>
          <w:szCs w:val="32"/>
        </w:rPr>
        <w:t>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after="0" w:line="300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1、近三年工业固体废物综合利用率情况。（至少包括企业主要固体废物品种、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工业固体废物贮存情况以及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自行利用处置设施建设及运行等情况，并计算近三年工业固体废物综合利用率。）</w:t>
      </w:r>
    </w:p>
    <w:p>
      <w:pPr>
        <w:pStyle w:val="4"/>
        <w:jc w:val="center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表2.2  近三年工业固体废物综合利用率统计表</w:t>
      </w:r>
    </w:p>
    <w:tbl>
      <w:tblPr>
        <w:tblStyle w:val="5"/>
        <w:tblW w:w="90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6"/>
        <w:gridCol w:w="1729"/>
        <w:gridCol w:w="1845"/>
        <w:gridCol w:w="1695"/>
        <w:gridCol w:w="17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  <w:t>年份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400" w:lineRule="exact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  <w:t>工业固体废物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400" w:lineRule="exact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  <w:t>综合利用量（万吨）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400" w:lineRule="exact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  <w:t>当年工业固体废物产生量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400" w:lineRule="exact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  <w:t>（万吨）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400" w:lineRule="exact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  <w:t>综合利用往年贮存量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400" w:lineRule="exact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  <w:t>（万吨）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400" w:lineRule="exact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  <w:t>工业固体废物综合利用率（%）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30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30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30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30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30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30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30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30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30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30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30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30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30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30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30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 w:val="0"/>
        <w:bidi w:val="0"/>
        <w:adjustRightInd/>
        <w:snapToGrid/>
        <w:spacing w:after="0" w:line="300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2、近三年再生资源回收利用率情况。（至少包括企业再生资源种类、数量，循环利用工艺等情况，并计算近三年再生资源回收利用率。）</w:t>
      </w:r>
    </w:p>
    <w:p>
      <w:pPr>
        <w:pStyle w:val="4"/>
        <w:jc w:val="center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表2.3  近三年再生资源回收利用率统计表</w:t>
      </w:r>
    </w:p>
    <w:tbl>
      <w:tblPr>
        <w:tblStyle w:val="5"/>
        <w:tblW w:w="86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2"/>
        <w:gridCol w:w="2497"/>
        <w:gridCol w:w="2475"/>
        <w:gridCol w:w="25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  <w:t>年份</w:t>
            </w:r>
          </w:p>
        </w:tc>
        <w:tc>
          <w:tcPr>
            <w:tcW w:w="2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  <w:t>再生资源循环利用量（万吨）</w:t>
            </w:r>
          </w:p>
        </w:tc>
        <w:tc>
          <w:tcPr>
            <w:tcW w:w="2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400" w:lineRule="exact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  <w:t>再生资源收集量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400" w:lineRule="exact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  <w:t>（万吨）</w:t>
            </w:r>
          </w:p>
        </w:tc>
        <w:tc>
          <w:tcPr>
            <w:tcW w:w="2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  <w:t>再生资源回收利用率(%)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30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30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30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30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30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30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30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30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30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30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30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30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 w:val="0"/>
        <w:bidi w:val="0"/>
        <w:adjustRightInd/>
        <w:snapToGrid/>
        <w:spacing w:after="0" w:line="600" w:lineRule="exact"/>
        <w:ind w:firstLine="643" w:firstLineChars="200"/>
        <w:jc w:val="both"/>
        <w:textAlignment w:val="auto"/>
        <w:rPr>
          <w:rFonts w:hint="eastAsia" w:ascii="Times New Roman" w:hAnsi="Times New Roman" w:eastAsia="楷体" w:cs="Times New Roman"/>
          <w:b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楷体" w:cs="Times New Roman"/>
          <w:b/>
          <w:bCs w:val="0"/>
          <w:sz w:val="32"/>
          <w:szCs w:val="32"/>
          <w:lang w:val="en-US" w:eastAsia="zh-CN"/>
        </w:rPr>
        <w:t>（四）工业固体废物最终处置情况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 w:val="0"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1、近三年工业固体废物贮存处置下降幅度情况。（至少包括企业工业固体废物最终处置情况、转移联单制度情况、以及第三方处置单位资质及能力等情况，并计算近三年工业固体废物贮存处置下降幅度。）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jc w:val="center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表2.4  近三年工业固体废物贮存处置下降幅度统计表</w:t>
      </w:r>
    </w:p>
    <w:tbl>
      <w:tblPr>
        <w:tblStyle w:val="5"/>
        <w:tblW w:w="89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3"/>
        <w:gridCol w:w="2385"/>
        <w:gridCol w:w="2925"/>
        <w:gridCol w:w="25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4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  <w:t>年份</w:t>
            </w:r>
          </w:p>
        </w:tc>
        <w:tc>
          <w:tcPr>
            <w:tcW w:w="2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400" w:lineRule="exact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  <w:t>基准年工业固体废物贮存处置量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400" w:lineRule="exact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  <w:t>（万吨）</w:t>
            </w:r>
          </w:p>
        </w:tc>
        <w:tc>
          <w:tcPr>
            <w:tcW w:w="2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400" w:lineRule="exact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  <w:t>评价年工业固体废物贮存处置量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400" w:lineRule="exact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  <w:t>（万吨）</w:t>
            </w:r>
          </w:p>
        </w:tc>
        <w:tc>
          <w:tcPr>
            <w:tcW w:w="2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400" w:lineRule="exact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  <w:t>工业固体废物贮存处置下降幅度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400" w:lineRule="exact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  <w:t>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6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3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600" w:lineRule="exact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600" w:lineRule="exact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600" w:lineRule="exact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6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3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600" w:lineRule="exact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600" w:lineRule="exact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600" w:lineRule="exact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6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3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600" w:lineRule="exact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600" w:lineRule="exact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0" w:line="600" w:lineRule="exact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 w:val="0"/>
        <w:bidi w:val="0"/>
        <w:adjustRightInd/>
        <w:snapToGrid/>
        <w:spacing w:after="0" w:line="60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注：基准年为近三年的上一年度，如近三年为2020、2021、2022，则基准年为2019年度。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 w:val="0"/>
        <w:bidi w:val="0"/>
        <w:adjustRightInd/>
        <w:snapToGrid/>
        <w:spacing w:after="0" w:line="600" w:lineRule="exact"/>
        <w:ind w:leftChars="200" w:firstLine="321" w:firstLineChars="100"/>
        <w:jc w:val="both"/>
        <w:textAlignment w:val="auto"/>
        <w:rPr>
          <w:rFonts w:hint="default" w:ascii="Times New Roman" w:hAnsi="Times New Roman" w:eastAsia="楷体" w:cs="Times New Roman"/>
          <w:b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楷体" w:cs="Times New Roman"/>
          <w:b/>
          <w:bCs w:val="0"/>
          <w:sz w:val="32"/>
          <w:szCs w:val="32"/>
          <w:lang w:val="en-US" w:eastAsia="zh-CN"/>
        </w:rPr>
        <w:t>（五）保障能力建设情况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 w:val="0"/>
        <w:bidi w:val="0"/>
        <w:adjustRightInd/>
        <w:snapToGrid/>
        <w:spacing w:after="0" w:line="60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1、企业工业资源综合利用相关体系、制度建设以及企业“无废工厂”工作实施方案及相应的奖惩机制等情况。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 w:val="0"/>
        <w:bidi w:val="0"/>
        <w:adjustRightInd/>
        <w:snapToGrid/>
        <w:spacing w:after="0" w:line="60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2、企业工业固体废物减量化、资源化、无害化技术研究及应用示范情况。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 w:val="0"/>
        <w:bidi w:val="0"/>
        <w:adjustRightInd/>
        <w:snapToGrid/>
        <w:spacing w:after="0" w:line="600" w:lineRule="exact"/>
        <w:ind w:leftChars="0"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3、企业组织以“无废工厂”为主题的科普活动，定期为员工提供相关知识的教育、培训，并对教育培训的结果进行考评等情况。</w:t>
      </w:r>
    </w:p>
    <w:p>
      <w:pPr>
        <w:spacing w:line="20" w:lineRule="exact"/>
        <w:ind w:right="160"/>
        <w:jc w:val="righ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FF0000"/>
          <w:sz w:val="32"/>
          <w:szCs w:val="32"/>
        </w:rPr>
        <w:t>　　　　　　　　　</w:t>
      </w:r>
    </w:p>
    <w:p/>
    <w:p>
      <w:pPr>
        <w:pStyle w:val="2"/>
      </w:pPr>
    </w:p>
    <w:p>
      <w:pPr>
        <w:pStyle w:val="3"/>
      </w:pPr>
    </w:p>
    <w:p/>
    <w:p>
      <w:pPr>
        <w:pStyle w:val="2"/>
      </w:pPr>
    </w:p>
    <w:p>
      <w:pPr>
        <w:pStyle w:val="3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ESI仿宋-GB13000">
    <w:altName w:val="仿宋"/>
    <w:panose1 w:val="02000500000000000000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031785F"/>
    <w:rsid w:val="7970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widowControl w:val="0"/>
      <w:spacing w:before="4" w:beforeLines="0"/>
      <w:ind w:left="166"/>
      <w:jc w:val="both"/>
    </w:pPr>
    <w:rPr>
      <w:rFonts w:hint="eastAsia" w:ascii="宋体" w:hAnsi="宋体" w:eastAsia="宋体" w:cs="Times New Roman"/>
      <w:kern w:val="2"/>
      <w:sz w:val="31"/>
      <w:szCs w:val="22"/>
      <w:lang w:val="en-US" w:eastAsia="zh-CN" w:bidi="ar-SA"/>
    </w:rPr>
  </w:style>
  <w:style w:type="paragraph" w:styleId="3">
    <w:name w:val="List Paragraph"/>
    <w:basedOn w:val="1"/>
    <w:next w:val="1"/>
    <w:qFormat/>
    <w:uiPriority w:val="0"/>
    <w:pPr>
      <w:ind w:left="240" w:firstLine="479"/>
    </w:pPr>
    <w:rPr>
      <w:rFonts w:ascii="宋体" w:hAnsi="宋体" w:eastAsia="宋体" w:cs="宋体"/>
      <w:lang w:val="zh-CN" w:eastAsia="zh-CN" w:bidi="zh-CN"/>
    </w:rPr>
  </w:style>
  <w:style w:type="paragraph" w:styleId="4">
    <w:name w:val="Normal Indent"/>
    <w:basedOn w:val="1"/>
    <w:qFormat/>
    <w:uiPriority w:val="0"/>
    <w:pPr>
      <w:snapToGrid w:val="0"/>
      <w:spacing w:line="360" w:lineRule="auto"/>
      <w:ind w:firstLine="420" w:firstLineChars="200"/>
    </w:pPr>
    <w:rPr>
      <w:rFonts w:ascii="宋体" w:hAnsi="Times New Roman" w:eastAsia="宋体" w:cs="Times New Roman"/>
      <w:kern w:val="0"/>
      <w:sz w:val="24"/>
      <w:szCs w:val="21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lenovo</cp:lastModifiedBy>
  <dcterms:modified xsi:type="dcterms:W3CDTF">2024-04-28T07:46:54Z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