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0" w:firstLineChars="0"/>
        <w:textAlignment w:val="auto"/>
        <w:rPr>
          <w:rFonts w:hint="eastAsia" w:ascii="仿宋_GB2312" w:hAnsi="仿宋_GB2312" w:eastAsia="黑体" w:cs="仿宋_GB2312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黑体" w:cs="仿宋_GB2312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附件</w:t>
      </w:r>
    </w:p>
    <w:p>
      <w:pPr>
        <w:pStyle w:val="2"/>
        <w:spacing w:beforeLines="0" w:afterLines="0" w:line="600" w:lineRule="exact"/>
        <w:rPr>
          <w:rFonts w:hint="eastAsia"/>
          <w:lang w:val="en-US" w:eastAsia="zh-CN"/>
        </w:rPr>
      </w:pPr>
    </w:p>
    <w:p>
      <w:pPr>
        <w:pStyle w:val="2"/>
        <w:widowControl w:val="0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highlight w:val="none"/>
          <w:shd w:val="clear" w:color="auto" w:fill="auto"/>
          <w:lang w:val="en-US" w:eastAsia="zh-CN"/>
        </w:rPr>
        <w:t>中小企业特色产业集群认定标准</w:t>
      </w:r>
    </w:p>
    <w:p>
      <w:pPr>
        <w:pStyle w:val="3"/>
        <w:spacing w:before="0" w:after="0" w:line="600" w:lineRule="exact"/>
        <w:rPr>
          <w:rFonts w:hint="default" w:ascii="Times New Roman" w:hAnsi="Times New Roman" w:eastAsia="楷体_GB2312" w:cs="Times New Roman"/>
          <w:b w:val="0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6"/>
          <w:highlight w:val="none"/>
          <w:shd w:val="clear" w:color="auto" w:fill="auto"/>
          <w:lang w:val="en-US" w:eastAsia="zh-CN"/>
        </w:rPr>
        <w:t>（2022年版）</w:t>
      </w:r>
    </w:p>
    <w:p>
      <w:pPr>
        <w:widowControl w:val="0"/>
        <w:numPr>
          <w:ilvl w:val="0"/>
          <w:numId w:val="0"/>
        </w:numPr>
        <w:spacing w:before="0" w:beforeLines="0" w:after="0" w:afterLines="0"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widowControl w:val="0"/>
        <w:spacing w:before="0" w:beforeLines="0" w:after="0" w:afterLines="0" w:line="240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中小企业特色产业集群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（以下简称集群）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认定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满足以下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八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方面指标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。同时，集群企业近三年未发生较大及以上安全、质量和环境污染等事故，重大及以上网络安全事件和数据安全事件，以及偷税漏税、违法违规、严重失信和其它重大问题的行为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highlight w:val="none"/>
          <w:shd w:val="clear" w:color="auto" w:fill="auto"/>
          <w:lang w:eastAsia="zh-CN" w:bidi="ar-SA"/>
        </w:rPr>
        <w:t>。</w:t>
      </w:r>
    </w:p>
    <w:p>
      <w:pPr>
        <w:pStyle w:val="3"/>
        <w:widowControl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一、具有较强核心竞争力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集群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主导产业为所在县域的支柱或特色产业，符合国家产业政策和行业发展规划要求，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发展水平位居细分领域全国前列，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有较高的集群品牌知名度；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</w:rPr>
        <w:t>占地面积一般不超过100平方公里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近三年产值均在40亿元以上，中小企业产值占集群总产值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0%以上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主导产业占集群总产值比例高于70%，产值年均增速高于10%。</w:t>
      </w:r>
    </w:p>
    <w:p>
      <w:pPr>
        <w:pStyle w:val="3"/>
        <w:widowControl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二、优质中小企业梯度培育成效显著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i w:val="0"/>
          <w:iCs w:val="0"/>
          <w:color w:val="00000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集群持续开展优质中小企业梯度培育工作，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拥有不少于1家主导产业的制造业单项冠军企业或专精特新“小巨人”企业，或者不少于10家专精特新中小企业、创新型中小企业和国家级高新技术企业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pStyle w:val="3"/>
        <w:widowControl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三、产业链供应链协作高效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集群产业链布局合理，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  <w:t>产业链上下游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 w:bidi="ar"/>
        </w:rPr>
        <w:t>企业产供销一体化协同协作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  <w:t>机制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 w:bidi="ar"/>
        </w:rPr>
        <w:t>较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  <w:t>完善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 w:bidi="ar"/>
        </w:rPr>
        <w:t>，建立了通用生产设备、物流、仓储、人力、设计等共享机制，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产业链关键环节配套能力较强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 w:bidi="ar"/>
        </w:rPr>
        <w:t>。</w:t>
      </w:r>
    </w:p>
    <w:p>
      <w:pPr>
        <w:pStyle w:val="3"/>
        <w:widowControl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四、具有较强协同创新能力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集群重视研发持续投入，近三年中小企业研发经费年均增长高于10%；统筹建立了多元创新平台，与大型企业、高校和科研院所创新合作紧密，大中小企业融通创新和产学研协同创新机制完善；积极参加主导产业的标准制修订工作；突破了一批主导产业的关键核心技术，有效发明专利年均增长率不低于15%，每万人有效发明专利拥有量不低于15个。</w:t>
      </w:r>
    </w:p>
    <w:p>
      <w:pPr>
        <w:pStyle w:val="3"/>
        <w:widowControl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五、数字化转型效果明显</w:t>
      </w:r>
    </w:p>
    <w:p>
      <w:pPr>
        <w:pStyle w:val="2"/>
        <w:widowControl w:val="0"/>
        <w:spacing w:beforeLines="0" w:afterLines="0" w:line="240" w:lineRule="auto"/>
        <w:ind w:firstLine="640" w:firstLineChars="200"/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集群新型信息基础设施建设水平较高，数字化装备和系统应用广泛，引入跨企业数字化解决方案、评估和诊断等服务；</w:t>
      </w: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 w:bidi="ar"/>
        </w:rPr>
        <w:t>“用云上平台”成效显著，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"/>
        </w:rPr>
        <w:t>工业互联网平台应用普及率不低于15%，工业软件应用率稳步提升，实现集群企业重要生产数据联通；开展主导产业数字化新模式新业态探索，建立健全工业互联网安全保障体系。</w:t>
      </w:r>
    </w:p>
    <w:p>
      <w:pPr>
        <w:pStyle w:val="3"/>
        <w:widowControl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六、具有较高绿色化发展水平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集群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</w:rPr>
        <w:t>能源消费结构合理，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二氧化碳排放量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强度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持续下降，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</w:rPr>
        <w:t>资源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利用效率较高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，污染物排放治理有效，建立了绿色低碳服务机制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eastAsia="zh-CN" w:bidi="ar-SA"/>
        </w:rPr>
        <w:t>属于高耗能行业的集群，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能效水平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高于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eastAsia="zh-CN" w:bidi="ar-SA"/>
        </w:rPr>
        <w:t>行业基准值；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属于高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用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水行业的集群，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水效水平高于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行业基准值。</w:t>
      </w:r>
    </w:p>
    <w:p>
      <w:pPr>
        <w:pStyle w:val="3"/>
        <w:widowControl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Cs w:val="32"/>
          <w:highlight w:val="none"/>
          <w:shd w:val="clear" w:color="auto" w:fill="auto"/>
          <w:lang w:val="en-US" w:eastAsia="zh-CN"/>
        </w:rPr>
        <w:t>七、积极参与产业开放合作</w:t>
      </w:r>
    </w:p>
    <w:p>
      <w:pPr>
        <w:pStyle w:val="2"/>
        <w:widowControl w:val="0"/>
        <w:spacing w:beforeLines="0" w:afterLines="0" w:line="240" w:lineRule="auto"/>
        <w:jc w:val="both"/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/>
          <w:b w:val="0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 xml:space="preserve">    集群参与主导产业国际合作机制或交流活动，开展技术、管理、人才或资本等方面交流合作，通过设置海外分支机构等方式，推动产品和服务对外贸易快速发展。</w:t>
      </w:r>
    </w:p>
    <w:p>
      <w:pPr>
        <w:pStyle w:val="3"/>
        <w:widowControl w:val="0"/>
        <w:spacing w:before="0" w:after="0" w:line="24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八、具有较强治理和服务能力</w:t>
      </w:r>
    </w:p>
    <w:p>
      <w:pPr>
        <w:pStyle w:val="2"/>
        <w:widowControl w:val="0"/>
        <w:numPr>
          <w:ilvl w:val="0"/>
          <w:numId w:val="0"/>
        </w:numPr>
        <w:spacing w:before="0" w:beforeLines="0" w:after="0" w:afterLines="0" w:line="240" w:lineRule="auto"/>
        <w:ind w:firstLine="640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集群设立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管委会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eastAsia="zh-CN"/>
        </w:rPr>
        <w:t>运营管理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机构，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建立了完善的中小企业公共服务体系和专业化的集群发展促进机制；促进中小企业发展政策宣贯实现集群全覆盖，确保惠企政策受益主体不漏户、不漏人地清晰了解和应享尽享；依照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本办法第二章第六条，制定</w:t>
      </w:r>
      <w:r>
        <w:rPr>
          <w:rFonts w:hint="eastAsia" w:ascii="Times New Roman" w:hAnsi="Times New Roman" w:eastAsia="仿宋_GB2312" w:cs="Times New Roman"/>
          <w:b w:val="0"/>
          <w:bCs/>
          <w:i w:val="0"/>
          <w:iCs w:val="0"/>
          <w:color w:val="000000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未来三年发展规划，发展目标要清晰、可考核，工作措施要完整、针对性强、切实可行。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78CC"/>
    <w:rsid w:val="3EAB0813"/>
    <w:rsid w:val="7F7B4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1140</Words>
  <Characters>1160</Characters>
  <Lines>0</Lines>
  <Paragraphs>0</Paragraphs>
  <TotalTime>0</TotalTime>
  <ScaleCrop>false</ScaleCrop>
  <LinksUpToDate>false</LinksUpToDate>
  <CharactersWithSpaces>1164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旷旷</cp:lastModifiedBy>
  <dcterms:modified xsi:type="dcterms:W3CDTF">2022-09-14T01:11:49Z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FCA410990370427BAF4AB80066117BEB</vt:lpwstr>
  </property>
</Properties>
</file>