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附件1</w:t>
      </w:r>
    </w:p>
    <w:p>
      <w:pPr>
        <w:spacing w:line="360" w:lineRule="auto"/>
        <w:jc w:val="center"/>
        <w:rPr>
          <w:rFonts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</w:rPr>
        <w:t>20</w:t>
      </w: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21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年</w:t>
      </w:r>
      <w:r>
        <w:rPr>
          <w:rFonts w:hint="eastAsia" w:ascii="Times New Roman" w:hAnsi="Times New Roman" w:eastAsia="方正小标宋简体" w:cs="方正小标宋简体"/>
          <w:sz w:val="36"/>
          <w:szCs w:val="36"/>
          <w:lang w:eastAsia="zh-CN"/>
        </w:rPr>
        <w:t>度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小进限奖励资金</w:t>
      </w:r>
      <w:r>
        <w:rPr>
          <w:rFonts w:hint="eastAsia" w:ascii="Times New Roman" w:hAnsi="Times New Roman" w:eastAsia="方正小标宋简体" w:cs="方正小标宋简体"/>
          <w:sz w:val="36"/>
          <w:szCs w:val="36"/>
          <w:lang w:eastAsia="zh-CN"/>
        </w:rPr>
        <w:t>分配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表</w:t>
      </w:r>
    </w:p>
    <w:tbl>
      <w:tblPr>
        <w:tblStyle w:val="2"/>
        <w:tblW w:w="4993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5"/>
        <w:gridCol w:w="1583"/>
        <w:gridCol w:w="2068"/>
        <w:gridCol w:w="14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:lang w:bidi="ar"/>
              </w:rPr>
              <w:t>单  位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:lang w:bidi="ar"/>
              </w:rPr>
              <w:t>户数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:lang w:bidi="ar"/>
              </w:rPr>
              <w:t>（户）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:lang w:bidi="ar"/>
              </w:rPr>
              <w:t>标准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  <w:lang w:bidi="ar"/>
              </w:rPr>
              <w:t>（万元/户）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总额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（万元）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全  市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640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1920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江岸区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江汉区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133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399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硚口区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汉阳区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武昌区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61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青山区（武汉化工区）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洪山区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蔡甸区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江夏区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黄陂区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47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新洲区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武汉开发区（汉南区）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bidi="ar"/>
              </w:rPr>
              <w:t>东湖开发区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临空港开发区（东西湖区）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东湖风景区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F1684"/>
    <w:rsid w:val="0D1C399A"/>
    <w:rsid w:val="133F1684"/>
    <w:rsid w:val="626B60C1"/>
    <w:rsid w:val="6DFB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0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2021-09-06T01:09:00Z</dcterms:created>
  <dc:creator>admin</dc:creator>
  <cp:lastModifiedBy>admin</cp:lastModifiedBy>
  <dcterms:modified xsi:type="dcterms:W3CDTF">2022-06-27T02:39:17Z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