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A9E" w:rsidRDefault="00121A9E" w:rsidP="00121A9E">
      <w:pPr>
        <w:widowControl/>
        <w:jc w:val="left"/>
        <w:rPr>
          <w:rFonts w:eastAsia="文星黑体"/>
          <w:color w:val="000000"/>
        </w:rPr>
      </w:pPr>
      <w:r>
        <w:rPr>
          <w:rFonts w:eastAsia="文星黑体"/>
          <w:color w:val="000000"/>
        </w:rPr>
        <w:t>附件</w:t>
      </w:r>
      <w:r>
        <w:rPr>
          <w:rFonts w:eastAsia="文星黑体"/>
          <w:color w:val="000000"/>
        </w:rPr>
        <w:t>1</w:t>
      </w:r>
    </w:p>
    <w:p w:rsidR="00121A9E" w:rsidRDefault="00121A9E" w:rsidP="00121A9E">
      <w:pPr>
        <w:pStyle w:val="a7"/>
        <w:spacing w:line="540" w:lineRule="exact"/>
        <w:ind w:firstLine="0"/>
        <w:jc w:val="center"/>
        <w:rPr>
          <w:rFonts w:eastAsia="文星黑体"/>
          <w:color w:val="000000"/>
        </w:rPr>
      </w:pPr>
    </w:p>
    <w:p w:rsidR="00121A9E" w:rsidRDefault="00121A9E" w:rsidP="00121A9E">
      <w:pPr>
        <w:spacing w:line="540" w:lineRule="exact"/>
        <w:jc w:val="center"/>
        <w:rPr>
          <w:rFonts w:eastAsia="文星标宋"/>
          <w:bCs/>
          <w:color w:val="000000"/>
          <w:sz w:val="44"/>
          <w:szCs w:val="44"/>
        </w:rPr>
      </w:pPr>
      <w:r>
        <w:rPr>
          <w:rFonts w:eastAsia="文星标宋"/>
          <w:bCs/>
          <w:color w:val="000000"/>
          <w:sz w:val="44"/>
          <w:szCs w:val="44"/>
        </w:rPr>
        <w:t>《钢结构中厚板激光</w:t>
      </w:r>
      <w:r>
        <w:rPr>
          <w:rFonts w:eastAsia="文星标宋"/>
          <w:bCs/>
          <w:color w:val="000000"/>
          <w:sz w:val="44"/>
          <w:szCs w:val="44"/>
        </w:rPr>
        <w:t>-</w:t>
      </w:r>
      <w:r>
        <w:rPr>
          <w:rFonts w:eastAsia="文星标宋"/>
          <w:bCs/>
          <w:color w:val="000000"/>
          <w:sz w:val="44"/>
          <w:szCs w:val="44"/>
        </w:rPr>
        <w:t>电弧复合焊接</w:t>
      </w:r>
    </w:p>
    <w:p w:rsidR="00121A9E" w:rsidRDefault="00121A9E" w:rsidP="00121A9E">
      <w:pPr>
        <w:spacing w:line="540" w:lineRule="exact"/>
        <w:jc w:val="center"/>
        <w:rPr>
          <w:rFonts w:eastAsia="文星标宋"/>
          <w:bCs/>
          <w:color w:val="000000"/>
          <w:sz w:val="44"/>
          <w:szCs w:val="44"/>
        </w:rPr>
      </w:pPr>
      <w:r>
        <w:rPr>
          <w:rFonts w:eastAsia="文星标宋"/>
          <w:bCs/>
          <w:color w:val="000000"/>
          <w:sz w:val="44"/>
          <w:szCs w:val="44"/>
        </w:rPr>
        <w:t>核心技术与装备》榜单</w:t>
      </w:r>
    </w:p>
    <w:p w:rsidR="00121A9E" w:rsidRDefault="00121A9E" w:rsidP="00121A9E">
      <w:pPr>
        <w:pStyle w:val="Default"/>
        <w:spacing w:line="540" w:lineRule="exact"/>
        <w:jc w:val="center"/>
        <w:rPr>
          <w:rFonts w:ascii="Times New Roman" w:hAnsi="Times New Roman" w:cs="Times New Roman"/>
        </w:rPr>
      </w:pPr>
    </w:p>
    <w:p w:rsidR="00121A9E" w:rsidRDefault="00121A9E" w:rsidP="00121A9E">
      <w:pPr>
        <w:tabs>
          <w:tab w:val="left" w:pos="4973"/>
        </w:tabs>
        <w:spacing w:line="560" w:lineRule="exact"/>
        <w:ind w:firstLineChars="200" w:firstLine="640"/>
        <w:rPr>
          <w:rFonts w:eastAsia="文星黑体"/>
          <w:bCs/>
          <w:color w:val="000000"/>
        </w:rPr>
      </w:pPr>
      <w:r>
        <w:rPr>
          <w:rFonts w:eastAsia="文星黑体"/>
          <w:bCs/>
          <w:color w:val="000000"/>
        </w:rPr>
        <w:t>一、研究内容</w:t>
      </w:r>
    </w:p>
    <w:p w:rsidR="00121A9E" w:rsidRDefault="00121A9E" w:rsidP="00121A9E">
      <w:pPr>
        <w:tabs>
          <w:tab w:val="left" w:pos="4973"/>
        </w:tabs>
        <w:spacing w:line="560" w:lineRule="exact"/>
        <w:ind w:firstLineChars="200" w:firstLine="640"/>
        <w:rPr>
          <w:rFonts w:eastAsia="文星仿宋"/>
          <w:bCs/>
        </w:rPr>
      </w:pPr>
      <w:r>
        <w:rPr>
          <w:rFonts w:eastAsia="文星楷体"/>
          <w:szCs w:val="22"/>
        </w:rPr>
        <w:t>1</w:t>
      </w:r>
      <w:r>
        <w:rPr>
          <w:rFonts w:eastAsia="文星楷体" w:hint="eastAsia"/>
          <w:szCs w:val="22"/>
        </w:rPr>
        <w:t xml:space="preserve">. </w:t>
      </w:r>
      <w:r>
        <w:rPr>
          <w:rFonts w:eastAsia="文星楷体"/>
          <w:szCs w:val="22"/>
        </w:rPr>
        <w:t>钢结构中厚板激光</w:t>
      </w:r>
      <w:r>
        <w:rPr>
          <w:rFonts w:eastAsia="文星楷体"/>
          <w:szCs w:val="22"/>
        </w:rPr>
        <w:t>-</w:t>
      </w:r>
      <w:r>
        <w:rPr>
          <w:rFonts w:eastAsia="文星楷体"/>
          <w:szCs w:val="22"/>
        </w:rPr>
        <w:t>电弧复合焊接工艺：</w:t>
      </w:r>
      <w:r>
        <w:rPr>
          <w:rFonts w:eastAsia="文星仿宋"/>
          <w:bCs/>
        </w:rPr>
        <w:t>研究激光</w:t>
      </w:r>
      <w:r>
        <w:rPr>
          <w:rFonts w:eastAsia="文星仿宋"/>
          <w:bCs/>
        </w:rPr>
        <w:t>-</w:t>
      </w:r>
      <w:r>
        <w:rPr>
          <w:rFonts w:eastAsia="文星仿宋"/>
          <w:bCs/>
        </w:rPr>
        <w:t>电弧复合焊接工艺对焊接接头微观组织、力学性能、变形及焊接缺陷的影响规律；研究钢结构中厚板激光</w:t>
      </w:r>
      <w:r>
        <w:rPr>
          <w:rFonts w:eastAsia="文星仿宋"/>
          <w:bCs/>
        </w:rPr>
        <w:t>-</w:t>
      </w:r>
      <w:r>
        <w:rPr>
          <w:rFonts w:eastAsia="文星仿宋"/>
          <w:bCs/>
        </w:rPr>
        <w:t>电弧复合焊接成形缺陷抑制与组织性能调控方法，构建激光</w:t>
      </w:r>
      <w:r>
        <w:rPr>
          <w:rFonts w:eastAsia="文星仿宋"/>
          <w:bCs/>
        </w:rPr>
        <w:t>-</w:t>
      </w:r>
      <w:r>
        <w:rPr>
          <w:rFonts w:eastAsia="文星仿宋"/>
          <w:bCs/>
        </w:rPr>
        <w:t>电弧复合焊接接头性能评估模型；开发大幅面钢结构复合焊接组织性能与变形预测技术，提出工艺参数、约束装夹等综合优化策略；确定桥梁、船舶、海洋工程等领域典型钢结构中厚板的焊接工艺窗口并建立焊接工艺数据库。</w:t>
      </w:r>
    </w:p>
    <w:p w:rsidR="00121A9E" w:rsidRDefault="00121A9E" w:rsidP="00121A9E">
      <w:pPr>
        <w:tabs>
          <w:tab w:val="left" w:pos="4973"/>
        </w:tabs>
        <w:spacing w:line="560" w:lineRule="exact"/>
        <w:ind w:firstLineChars="200" w:firstLine="640"/>
        <w:rPr>
          <w:rFonts w:eastAsia="文星仿宋"/>
          <w:bCs/>
        </w:rPr>
      </w:pPr>
      <w:r>
        <w:rPr>
          <w:rFonts w:eastAsia="文星楷体"/>
          <w:szCs w:val="22"/>
        </w:rPr>
        <w:t>2</w:t>
      </w:r>
      <w:r>
        <w:rPr>
          <w:rFonts w:eastAsia="文星楷体" w:hint="eastAsia"/>
          <w:szCs w:val="22"/>
        </w:rPr>
        <w:t xml:space="preserve">. </w:t>
      </w:r>
      <w:r>
        <w:rPr>
          <w:rFonts w:eastAsia="文星楷体"/>
          <w:szCs w:val="22"/>
        </w:rPr>
        <w:t>大型钢结构复合焊接监控技术与系统：</w:t>
      </w:r>
      <w:r>
        <w:rPr>
          <w:rFonts w:eastAsia="文星仿宋"/>
          <w:bCs/>
        </w:rPr>
        <w:t>研究大幅面钢结构逆向建模方法，实现焊前自动识别施焊位置及几何形貌；研究焊接自动路径规划与焊接动态工况在线感知技术，突破焊接过程工艺参数自适应控制技术；开发钢结构复合焊接焊缝质量在线检测技术，实现焊接质量在线评估；研制激光</w:t>
      </w:r>
      <w:r>
        <w:rPr>
          <w:rFonts w:eastAsia="文星仿宋"/>
          <w:bCs/>
        </w:rPr>
        <w:t>-</w:t>
      </w:r>
      <w:r>
        <w:rPr>
          <w:rFonts w:eastAsia="文星仿宋"/>
          <w:bCs/>
        </w:rPr>
        <w:t>电弧复合焊接全流程智能化监控系统。</w:t>
      </w:r>
    </w:p>
    <w:p w:rsidR="00121A9E" w:rsidRDefault="00121A9E" w:rsidP="00121A9E">
      <w:pPr>
        <w:tabs>
          <w:tab w:val="left" w:pos="4973"/>
        </w:tabs>
        <w:spacing w:line="560" w:lineRule="exact"/>
        <w:ind w:firstLineChars="200" w:firstLine="640"/>
        <w:rPr>
          <w:rFonts w:eastAsia="文星仿宋"/>
          <w:bCs/>
        </w:rPr>
      </w:pPr>
      <w:r>
        <w:rPr>
          <w:rFonts w:eastAsia="文星楷体"/>
          <w:szCs w:val="22"/>
        </w:rPr>
        <w:t>3</w:t>
      </w:r>
      <w:r>
        <w:rPr>
          <w:rFonts w:eastAsia="文星楷体" w:hint="eastAsia"/>
          <w:szCs w:val="22"/>
        </w:rPr>
        <w:t xml:space="preserve">. </w:t>
      </w:r>
      <w:r>
        <w:rPr>
          <w:rFonts w:eastAsia="文星楷体"/>
          <w:szCs w:val="22"/>
        </w:rPr>
        <w:t>大型钢结构复合焊接装备研发与工程应用：</w:t>
      </w:r>
      <w:r>
        <w:rPr>
          <w:rFonts w:eastAsia="文星仿宋"/>
          <w:bCs/>
        </w:rPr>
        <w:t>研制焊接复合热源、复合焊机头等关键部件；研制大幅面钢结构激光</w:t>
      </w:r>
      <w:r>
        <w:rPr>
          <w:rFonts w:eastAsia="文星仿宋"/>
          <w:bCs/>
        </w:rPr>
        <w:t>-</w:t>
      </w:r>
      <w:r>
        <w:rPr>
          <w:rFonts w:eastAsia="文星仿宋"/>
          <w:bCs/>
        </w:rPr>
        <w:t>电弧复合焊接装备，并在桥梁、船舶、海洋工程等领域实现工程应用。</w:t>
      </w:r>
      <w:r>
        <w:rPr>
          <w:rFonts w:eastAsia="文星仿宋"/>
          <w:bCs/>
        </w:rPr>
        <w:t xml:space="preserve">  </w:t>
      </w:r>
    </w:p>
    <w:p w:rsidR="00121A9E" w:rsidRDefault="00121A9E" w:rsidP="00121A9E">
      <w:pPr>
        <w:tabs>
          <w:tab w:val="left" w:pos="4973"/>
        </w:tabs>
        <w:spacing w:line="560" w:lineRule="exact"/>
        <w:ind w:firstLineChars="200" w:firstLine="640"/>
        <w:rPr>
          <w:rFonts w:eastAsia="文星黑体"/>
          <w:bCs/>
          <w:color w:val="000000"/>
        </w:rPr>
      </w:pPr>
      <w:r>
        <w:rPr>
          <w:rFonts w:eastAsia="文星黑体"/>
          <w:bCs/>
          <w:color w:val="000000"/>
        </w:rPr>
        <w:t>二、考核指标</w:t>
      </w:r>
    </w:p>
    <w:p w:rsidR="00121A9E" w:rsidRDefault="00121A9E" w:rsidP="00121A9E">
      <w:pPr>
        <w:spacing w:line="560" w:lineRule="exact"/>
        <w:ind w:firstLineChars="200" w:firstLine="640"/>
        <w:rPr>
          <w:rFonts w:eastAsia="文星仿宋"/>
          <w:szCs w:val="22"/>
        </w:rPr>
      </w:pPr>
      <w:r>
        <w:rPr>
          <w:rFonts w:eastAsia="文星楷体"/>
          <w:szCs w:val="22"/>
        </w:rPr>
        <w:t>1</w:t>
      </w:r>
      <w:r>
        <w:rPr>
          <w:rFonts w:eastAsia="文星楷体" w:hint="eastAsia"/>
          <w:szCs w:val="22"/>
        </w:rPr>
        <w:t xml:space="preserve">. </w:t>
      </w:r>
      <w:r>
        <w:rPr>
          <w:rFonts w:eastAsia="文星楷体"/>
          <w:szCs w:val="22"/>
        </w:rPr>
        <w:t>钢结构中厚板激光</w:t>
      </w:r>
      <w:r>
        <w:rPr>
          <w:rFonts w:eastAsia="文星楷体"/>
          <w:szCs w:val="22"/>
        </w:rPr>
        <w:t>-</w:t>
      </w:r>
      <w:r>
        <w:rPr>
          <w:rFonts w:eastAsia="文星楷体"/>
          <w:szCs w:val="22"/>
        </w:rPr>
        <w:t>电弧复合焊接工艺：</w:t>
      </w:r>
      <w:r>
        <w:rPr>
          <w:rFonts w:eastAsia="文星仿宋"/>
          <w:szCs w:val="22"/>
        </w:rPr>
        <w:t>焊接接头力学性</w:t>
      </w:r>
      <w:r>
        <w:rPr>
          <w:rFonts w:eastAsia="文星仿宋"/>
          <w:szCs w:val="22"/>
        </w:rPr>
        <w:lastRenderedPageBreak/>
        <w:t>能不低于母材的国家（或行业）标准值，探伤合格率</w:t>
      </w:r>
      <w:r>
        <w:rPr>
          <w:rFonts w:eastAsia="文星仿宋"/>
          <w:szCs w:val="22"/>
        </w:rPr>
        <w:t>100%</w:t>
      </w:r>
      <w:r>
        <w:rPr>
          <w:rFonts w:eastAsia="文星仿宋"/>
          <w:szCs w:val="22"/>
        </w:rPr>
        <w:t>；焊后变形控制量</w:t>
      </w:r>
      <w:r>
        <w:rPr>
          <w:rFonts w:eastAsia="文星仿宋"/>
          <w:szCs w:val="22"/>
        </w:rPr>
        <w:t>≤2.0mm/m</w:t>
      </w:r>
      <w:r>
        <w:rPr>
          <w:rFonts w:eastAsia="文星仿宋"/>
          <w:szCs w:val="22"/>
        </w:rPr>
        <w:t>；力学性能预测误差</w:t>
      </w:r>
      <w:r>
        <w:rPr>
          <w:rFonts w:eastAsia="文星仿宋"/>
          <w:szCs w:val="22"/>
        </w:rPr>
        <w:t>≤10%</w:t>
      </w:r>
      <w:r>
        <w:rPr>
          <w:rFonts w:eastAsia="文星仿宋"/>
          <w:szCs w:val="22"/>
        </w:rPr>
        <w:t>；焊接工艺数据库包含桥梁、船舶、海洋工程等领域典型钢结构中厚板种类</w:t>
      </w:r>
      <w:r>
        <w:rPr>
          <w:rFonts w:eastAsia="文星仿宋"/>
          <w:szCs w:val="22"/>
        </w:rPr>
        <w:t>≥3</w:t>
      </w:r>
      <w:r>
        <w:rPr>
          <w:rFonts w:eastAsia="文星仿宋"/>
          <w:szCs w:val="22"/>
        </w:rPr>
        <w:t>类；申请</w:t>
      </w:r>
      <w:r>
        <w:rPr>
          <w:rFonts w:eastAsia="文星仿宋"/>
          <w:szCs w:val="22"/>
        </w:rPr>
        <w:t>/</w:t>
      </w:r>
      <w:r>
        <w:rPr>
          <w:rFonts w:eastAsia="文星仿宋"/>
          <w:szCs w:val="22"/>
        </w:rPr>
        <w:t>授权发明专利</w:t>
      </w:r>
      <w:r>
        <w:rPr>
          <w:rFonts w:eastAsia="文星仿宋"/>
          <w:szCs w:val="22"/>
        </w:rPr>
        <w:t>≥3</w:t>
      </w:r>
      <w:r>
        <w:rPr>
          <w:rFonts w:eastAsia="文星仿宋"/>
          <w:szCs w:val="22"/>
        </w:rPr>
        <w:t>项，形成工艺规范和标准</w:t>
      </w:r>
      <w:r>
        <w:rPr>
          <w:rFonts w:eastAsia="文星仿宋"/>
          <w:szCs w:val="22"/>
        </w:rPr>
        <w:t>≥1</w:t>
      </w:r>
      <w:r>
        <w:rPr>
          <w:rFonts w:eastAsia="文星仿宋"/>
          <w:szCs w:val="22"/>
        </w:rPr>
        <w:t>项。</w:t>
      </w:r>
    </w:p>
    <w:p w:rsidR="00121A9E" w:rsidRDefault="00121A9E" w:rsidP="00121A9E">
      <w:pPr>
        <w:spacing w:line="560" w:lineRule="exact"/>
        <w:ind w:firstLineChars="200" w:firstLine="640"/>
        <w:rPr>
          <w:rFonts w:eastAsia="文星仿宋"/>
          <w:szCs w:val="22"/>
        </w:rPr>
      </w:pPr>
      <w:r>
        <w:rPr>
          <w:rFonts w:eastAsia="文星楷体"/>
          <w:szCs w:val="22"/>
        </w:rPr>
        <w:t>2</w:t>
      </w:r>
      <w:r>
        <w:rPr>
          <w:rFonts w:eastAsia="文星楷体" w:hint="eastAsia"/>
          <w:szCs w:val="22"/>
        </w:rPr>
        <w:t xml:space="preserve">. </w:t>
      </w:r>
      <w:r>
        <w:rPr>
          <w:rFonts w:eastAsia="文星楷体"/>
          <w:szCs w:val="22"/>
        </w:rPr>
        <w:t>大型钢结构复合焊接监控技术与系统：</w:t>
      </w:r>
      <w:r>
        <w:rPr>
          <w:rFonts w:eastAsia="文星仿宋"/>
          <w:szCs w:val="22"/>
        </w:rPr>
        <w:t>钢结构逆向建模精度优</w:t>
      </w:r>
      <w:r w:rsidR="00146FBD">
        <w:rPr>
          <w:rFonts w:eastAsia="文星仿宋" w:hint="eastAsia"/>
          <w:szCs w:val="22"/>
        </w:rPr>
        <w:t>于</w:t>
      </w:r>
      <w:bookmarkStart w:id="0" w:name="_GoBack"/>
      <w:bookmarkEnd w:id="0"/>
      <w:r>
        <w:rPr>
          <w:rFonts w:eastAsia="文星仿宋"/>
          <w:szCs w:val="22"/>
        </w:rPr>
        <w:t>2.0mm</w:t>
      </w:r>
      <w:r>
        <w:rPr>
          <w:rFonts w:eastAsia="文星仿宋"/>
          <w:szCs w:val="22"/>
        </w:rPr>
        <w:t>；扫描速度在</w:t>
      </w:r>
      <w:r>
        <w:rPr>
          <w:rFonts w:eastAsia="文星仿宋"/>
          <w:szCs w:val="22"/>
        </w:rPr>
        <w:t>50mm/s</w:t>
      </w:r>
      <w:r>
        <w:rPr>
          <w:rFonts w:eastAsia="文星仿宋"/>
          <w:szCs w:val="22"/>
        </w:rPr>
        <w:t>以上、跟踪精度达到</w:t>
      </w:r>
      <w:r>
        <w:rPr>
          <w:rFonts w:eastAsia="文星仿宋"/>
          <w:szCs w:val="22"/>
        </w:rPr>
        <w:t>0.5mm</w:t>
      </w:r>
      <w:r>
        <w:rPr>
          <w:rFonts w:eastAsia="文星仿宋"/>
          <w:szCs w:val="22"/>
        </w:rPr>
        <w:t>；焊缝成形特征尺寸测量精度达到</w:t>
      </w:r>
      <w:r>
        <w:rPr>
          <w:rFonts w:eastAsia="文星仿宋"/>
          <w:szCs w:val="22"/>
        </w:rPr>
        <w:t>0.1mm</w:t>
      </w:r>
      <w:r>
        <w:rPr>
          <w:rFonts w:eastAsia="文星仿宋"/>
          <w:szCs w:val="22"/>
        </w:rPr>
        <w:t>，表面缺陷检测精度优于</w:t>
      </w:r>
      <w:r>
        <w:rPr>
          <w:rFonts w:eastAsia="文星仿宋"/>
          <w:szCs w:val="22"/>
        </w:rPr>
        <w:t>0.15mm</w:t>
      </w:r>
      <w:r>
        <w:rPr>
          <w:rFonts w:eastAsia="文星仿宋"/>
          <w:szCs w:val="22"/>
        </w:rPr>
        <w:t>、识别率</w:t>
      </w:r>
      <w:r>
        <w:rPr>
          <w:rFonts w:eastAsia="文星仿宋"/>
          <w:szCs w:val="22"/>
        </w:rPr>
        <w:t>≥99%</w:t>
      </w:r>
      <w:r>
        <w:rPr>
          <w:rFonts w:eastAsia="文星仿宋"/>
          <w:szCs w:val="22"/>
        </w:rPr>
        <w:t>，在线检测平均单帧耗时</w:t>
      </w:r>
      <w:r>
        <w:rPr>
          <w:rFonts w:eastAsia="文星仿宋"/>
          <w:szCs w:val="22"/>
        </w:rPr>
        <w:t>≤0.5ms</w:t>
      </w:r>
      <w:r>
        <w:rPr>
          <w:rFonts w:eastAsia="文星仿宋"/>
          <w:szCs w:val="22"/>
        </w:rPr>
        <w:t>；智能化监控系统具备拼缝可视化、质量检测、缺陷溯源等功能；申请</w:t>
      </w:r>
      <w:r>
        <w:rPr>
          <w:rFonts w:eastAsia="文星仿宋"/>
          <w:szCs w:val="22"/>
        </w:rPr>
        <w:t>/</w:t>
      </w:r>
      <w:r>
        <w:rPr>
          <w:rFonts w:eastAsia="文星仿宋"/>
          <w:szCs w:val="22"/>
        </w:rPr>
        <w:t>授权发明专利</w:t>
      </w:r>
      <w:r>
        <w:rPr>
          <w:rFonts w:eastAsia="文星仿宋"/>
          <w:szCs w:val="22"/>
        </w:rPr>
        <w:t>≥4</w:t>
      </w:r>
      <w:r>
        <w:rPr>
          <w:rFonts w:eastAsia="文星仿宋"/>
          <w:szCs w:val="22"/>
        </w:rPr>
        <w:t>项，建立行业或企业标准</w:t>
      </w:r>
      <w:r>
        <w:rPr>
          <w:rFonts w:eastAsia="文星仿宋"/>
          <w:szCs w:val="22"/>
        </w:rPr>
        <w:t>≥1</w:t>
      </w:r>
      <w:r>
        <w:rPr>
          <w:rFonts w:eastAsia="文星仿宋"/>
          <w:szCs w:val="22"/>
        </w:rPr>
        <w:t>项。</w:t>
      </w:r>
    </w:p>
    <w:p w:rsidR="00121A9E" w:rsidRDefault="00121A9E" w:rsidP="00121A9E">
      <w:pPr>
        <w:spacing w:line="560" w:lineRule="exact"/>
        <w:ind w:firstLineChars="200" w:firstLine="640"/>
        <w:rPr>
          <w:rFonts w:eastAsia="文星仿宋"/>
          <w:szCs w:val="22"/>
        </w:rPr>
      </w:pPr>
      <w:r>
        <w:rPr>
          <w:rFonts w:eastAsia="文星楷体"/>
          <w:szCs w:val="22"/>
        </w:rPr>
        <w:t>3</w:t>
      </w:r>
      <w:r>
        <w:rPr>
          <w:rFonts w:eastAsia="文星楷体" w:hint="eastAsia"/>
          <w:szCs w:val="22"/>
        </w:rPr>
        <w:t xml:space="preserve">. </w:t>
      </w:r>
      <w:r>
        <w:rPr>
          <w:rFonts w:eastAsia="文星楷体"/>
          <w:szCs w:val="22"/>
        </w:rPr>
        <w:t>大型钢结构复合焊接装备研发与工程应用：</w:t>
      </w:r>
      <w:r>
        <w:rPr>
          <w:rFonts w:eastAsia="文星仿宋"/>
          <w:szCs w:val="22"/>
        </w:rPr>
        <w:t>激光器最大输出功率</w:t>
      </w:r>
      <w:r>
        <w:rPr>
          <w:rFonts w:eastAsia="文星仿宋"/>
          <w:szCs w:val="22"/>
        </w:rPr>
        <w:t>≥20kW</w:t>
      </w:r>
      <w:r>
        <w:rPr>
          <w:rFonts w:eastAsia="文星仿宋"/>
          <w:szCs w:val="22"/>
        </w:rPr>
        <w:t>、光束质量</w:t>
      </w:r>
      <w:r>
        <w:rPr>
          <w:rFonts w:eastAsia="文星仿宋"/>
          <w:szCs w:val="22"/>
        </w:rPr>
        <w:t>BPP≤8mm</w:t>
      </w:r>
      <w:r>
        <w:rPr>
          <w:rFonts w:eastAsia="宋体"/>
          <w:szCs w:val="22"/>
        </w:rPr>
        <w:t>·</w:t>
      </w:r>
      <w:r>
        <w:rPr>
          <w:rFonts w:eastAsia="文星仿宋"/>
          <w:szCs w:val="22"/>
        </w:rPr>
        <w:t>mrad</w:t>
      </w:r>
      <w:r>
        <w:rPr>
          <w:rFonts w:eastAsia="文星仿宋"/>
          <w:szCs w:val="22"/>
        </w:rPr>
        <w:t>；焊接装备有效焊接长度</w:t>
      </w:r>
      <w:r>
        <w:rPr>
          <w:rFonts w:eastAsia="文星仿宋"/>
          <w:szCs w:val="22"/>
        </w:rPr>
        <w:t>≥18m</w:t>
      </w:r>
      <w:r>
        <w:rPr>
          <w:rFonts w:eastAsia="文星仿宋"/>
          <w:szCs w:val="22"/>
        </w:rPr>
        <w:t>，龙门行走机构重复定位精度优于</w:t>
      </w:r>
      <w:r>
        <w:rPr>
          <w:rFonts w:eastAsia="宋体"/>
          <w:szCs w:val="22"/>
        </w:rPr>
        <w:t>±</w:t>
      </w:r>
      <w:r>
        <w:rPr>
          <w:rFonts w:eastAsia="文星仿宋"/>
          <w:szCs w:val="22"/>
        </w:rPr>
        <w:t>0.05mm</w:t>
      </w:r>
      <w:r>
        <w:rPr>
          <w:rFonts w:eastAsia="文星仿宋"/>
          <w:szCs w:val="22"/>
        </w:rPr>
        <w:t>，焊接机器人重复定位精度优于</w:t>
      </w:r>
      <w:r>
        <w:rPr>
          <w:rFonts w:eastAsia="宋体"/>
          <w:szCs w:val="22"/>
        </w:rPr>
        <w:t>±</w:t>
      </w:r>
      <w:r>
        <w:rPr>
          <w:rFonts w:eastAsia="文星仿宋"/>
          <w:szCs w:val="22"/>
        </w:rPr>
        <w:t>0.05mm</w:t>
      </w:r>
      <w:r>
        <w:rPr>
          <w:rFonts w:eastAsia="文星仿宋"/>
          <w:szCs w:val="22"/>
        </w:rPr>
        <w:t>，焊接效率提高</w:t>
      </w:r>
      <w:r>
        <w:rPr>
          <w:rFonts w:eastAsia="文星仿宋"/>
          <w:szCs w:val="22"/>
        </w:rPr>
        <w:t>50%</w:t>
      </w:r>
      <w:r>
        <w:rPr>
          <w:rFonts w:eastAsia="文星仿宋"/>
          <w:szCs w:val="22"/>
        </w:rPr>
        <w:t>以上；申请</w:t>
      </w:r>
      <w:r>
        <w:rPr>
          <w:rFonts w:eastAsia="文星仿宋"/>
          <w:szCs w:val="22"/>
        </w:rPr>
        <w:t>/</w:t>
      </w:r>
      <w:r>
        <w:rPr>
          <w:rFonts w:eastAsia="文星仿宋"/>
          <w:szCs w:val="22"/>
        </w:rPr>
        <w:t>授权发明专利</w:t>
      </w:r>
      <w:r>
        <w:rPr>
          <w:rFonts w:eastAsia="文星仿宋"/>
          <w:szCs w:val="22"/>
        </w:rPr>
        <w:t>≥4</w:t>
      </w:r>
      <w:r>
        <w:rPr>
          <w:rFonts w:eastAsia="文星仿宋"/>
          <w:szCs w:val="22"/>
        </w:rPr>
        <w:t>项，焊接装备工程化应用不少于</w:t>
      </w:r>
      <w:r>
        <w:rPr>
          <w:rFonts w:eastAsia="文星仿宋"/>
          <w:szCs w:val="22"/>
        </w:rPr>
        <w:t>3</w:t>
      </w:r>
      <w:r>
        <w:rPr>
          <w:rFonts w:eastAsia="文星仿宋"/>
          <w:szCs w:val="22"/>
        </w:rPr>
        <w:t>台套。</w:t>
      </w:r>
    </w:p>
    <w:p w:rsidR="00121A9E" w:rsidRDefault="00121A9E" w:rsidP="00121A9E">
      <w:pPr>
        <w:spacing w:line="560" w:lineRule="exact"/>
        <w:ind w:firstLineChars="200" w:firstLine="640"/>
        <w:rPr>
          <w:rFonts w:eastAsia="文星黑体"/>
          <w:bCs/>
          <w:color w:val="000000"/>
        </w:rPr>
      </w:pPr>
      <w:r>
        <w:rPr>
          <w:rFonts w:eastAsia="文星黑体"/>
          <w:bCs/>
          <w:color w:val="000000"/>
        </w:rPr>
        <w:t>三、榜单金额</w:t>
      </w:r>
    </w:p>
    <w:p w:rsidR="000F2186" w:rsidRDefault="00121A9E" w:rsidP="00121A9E">
      <w:r>
        <w:rPr>
          <w:rFonts w:eastAsia="仿宋"/>
          <w:bCs/>
        </w:rPr>
        <w:t>市科技研发资金最高</w:t>
      </w:r>
      <w:r>
        <w:rPr>
          <w:rFonts w:eastAsia="仿宋"/>
          <w:bCs/>
        </w:rPr>
        <w:t>2000</w:t>
      </w:r>
      <w:r>
        <w:rPr>
          <w:rFonts w:eastAsia="仿宋"/>
          <w:bCs/>
        </w:rPr>
        <w:t>万元，揭榜单位配套经费与市科技研发资金比例不低于</w:t>
      </w:r>
      <w:r>
        <w:rPr>
          <w:rFonts w:eastAsia="仿宋" w:hint="eastAsia"/>
          <w:bCs/>
        </w:rPr>
        <w:t>2:1</w:t>
      </w:r>
      <w:r>
        <w:rPr>
          <w:rFonts w:eastAsia="仿宋"/>
          <w:bCs/>
        </w:rPr>
        <w:t>。</w:t>
      </w:r>
    </w:p>
    <w:sectPr w:rsidR="000F2186" w:rsidSect="00092CA2">
      <w:pgSz w:w="11907" w:h="16839" w:code="9"/>
      <w:pgMar w:top="1440" w:right="1474" w:bottom="1440" w:left="1588" w:header="851" w:footer="992" w:gutter="0"/>
      <w:cols w:space="425"/>
      <w:docGrid w:type="lines" w:linePitch="4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A9E" w:rsidRDefault="00121A9E" w:rsidP="00121A9E">
      <w:r>
        <w:separator/>
      </w:r>
    </w:p>
  </w:endnote>
  <w:endnote w:type="continuationSeparator" w:id="0">
    <w:p w:rsidR="00121A9E" w:rsidRDefault="00121A9E" w:rsidP="0012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文星标宋">
    <w:panose1 w:val="02010609000101010101"/>
    <w:charset w:val="86"/>
    <w:family w:val="modern"/>
    <w:pitch w:val="fixed"/>
    <w:sig w:usb0="00000001" w:usb1="080E0000" w:usb2="00000010" w:usb3="00000000" w:csb0="00040000" w:csb1="00000000"/>
  </w:font>
  <w:font w:name="等线">
    <w:altName w:val="微软雅黑"/>
    <w:charset w:val="86"/>
    <w:family w:val="auto"/>
    <w:pitch w:val="default"/>
    <w:sig w:usb0="00000000" w:usb1="00000000" w:usb2="00000016" w:usb3="00000000" w:csb0="0004000F" w:csb1="00000000"/>
  </w:font>
  <w:font w:name="文星仿宋">
    <w:panose1 w:val="02010609000101010101"/>
    <w:charset w:val="86"/>
    <w:family w:val="modern"/>
    <w:pitch w:val="fixed"/>
    <w:sig w:usb0="00000001" w:usb1="080E0000" w:usb2="00000010" w:usb3="00000000" w:csb0="00040000" w:csb1="00000000"/>
  </w:font>
  <w:font w:name="@文星楷体">
    <w:panose1 w:val="02010609000101010101"/>
    <w:charset w:val="86"/>
    <w:family w:val="modern"/>
    <w:pitch w:val="fixed"/>
    <w:sig w:usb0="00000001" w:usb1="080E0000" w:usb2="00000010" w:usb3="00000000" w:csb0="00040000" w:csb1="00000000"/>
  </w:font>
  <w:font w:name="文星黑体">
    <w:panose1 w:val="02010609000101010101"/>
    <w:charset w:val="86"/>
    <w:family w:val="modern"/>
    <w:pitch w:val="fixed"/>
    <w:sig w:usb0="00000001" w:usb1="080E0000" w:usb2="00000010" w:usb3="00000000" w:csb0="00040000" w:csb1="00000000"/>
  </w:font>
  <w:font w:name="文星楷体">
    <w:panose1 w:val="0201060900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A9E" w:rsidRDefault="00121A9E" w:rsidP="00121A9E">
      <w:r>
        <w:separator/>
      </w:r>
    </w:p>
  </w:footnote>
  <w:footnote w:type="continuationSeparator" w:id="0">
    <w:p w:rsidR="00121A9E" w:rsidRDefault="00121A9E" w:rsidP="00121A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60"/>
  <w:drawingGridVerticalSpacing w:val="221"/>
  <w:displayHorizontalDrawingGridEvery w:val="2"/>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01E"/>
    <w:rsid w:val="00044C7C"/>
    <w:rsid w:val="00092CA2"/>
    <w:rsid w:val="000F2186"/>
    <w:rsid w:val="00121A9E"/>
    <w:rsid w:val="00146FBD"/>
    <w:rsid w:val="00223175"/>
    <w:rsid w:val="00496D94"/>
    <w:rsid w:val="005D3C32"/>
    <w:rsid w:val="009B301E"/>
    <w:rsid w:val="00A35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64AA3F0-1461-4528-92DD-347E68A94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A9E"/>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5D3C32"/>
    <w:pPr>
      <w:spacing w:after="10" w:line="560" w:lineRule="exact"/>
      <w:jc w:val="center"/>
      <w:outlineLvl w:val="0"/>
    </w:pPr>
    <w:rPr>
      <w:rFonts w:ascii="Calibri Light" w:eastAsia="文星标宋" w:hAnsi="Calibri Light" w:cstheme="minorBidi"/>
      <w:bCs/>
      <w:sz w:val="44"/>
      <w:szCs w:val="32"/>
    </w:rPr>
  </w:style>
  <w:style w:type="character" w:customStyle="1" w:styleId="Char">
    <w:name w:val="标题 Char"/>
    <w:link w:val="a3"/>
    <w:rsid w:val="005D3C32"/>
    <w:rPr>
      <w:rFonts w:ascii="Calibri Light" w:eastAsia="文星标宋" w:hAnsi="Calibri Light"/>
      <w:bCs/>
      <w:sz w:val="44"/>
      <w:szCs w:val="32"/>
    </w:rPr>
  </w:style>
  <w:style w:type="paragraph" w:styleId="a4">
    <w:name w:val="Body Text"/>
    <w:basedOn w:val="a"/>
    <w:link w:val="Char0"/>
    <w:unhideWhenUsed/>
    <w:qFormat/>
    <w:rsid w:val="005D3C32"/>
    <w:pPr>
      <w:spacing w:line="560" w:lineRule="exact"/>
    </w:pPr>
    <w:rPr>
      <w:rFonts w:ascii="等线" w:eastAsia="文星仿宋" w:hAnsi="等线" w:cstheme="minorBidi"/>
      <w:szCs w:val="22"/>
    </w:rPr>
  </w:style>
  <w:style w:type="character" w:customStyle="1" w:styleId="Char0">
    <w:name w:val="正文文本 Char"/>
    <w:link w:val="a4"/>
    <w:rsid w:val="005D3C32"/>
    <w:rPr>
      <w:rFonts w:ascii="等线" w:eastAsia="文星仿宋" w:hAnsi="等线"/>
      <w:sz w:val="32"/>
    </w:rPr>
  </w:style>
  <w:style w:type="paragraph" w:styleId="a5">
    <w:name w:val="header"/>
    <w:basedOn w:val="a"/>
    <w:link w:val="Char1"/>
    <w:uiPriority w:val="99"/>
    <w:unhideWhenUsed/>
    <w:rsid w:val="00121A9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rsid w:val="00121A9E"/>
    <w:rPr>
      <w:sz w:val="18"/>
      <w:szCs w:val="18"/>
    </w:rPr>
  </w:style>
  <w:style w:type="paragraph" w:styleId="a6">
    <w:name w:val="footer"/>
    <w:basedOn w:val="a"/>
    <w:link w:val="Char2"/>
    <w:uiPriority w:val="99"/>
    <w:unhideWhenUsed/>
    <w:rsid w:val="00121A9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
    <w:name w:val="页脚 Char"/>
    <w:basedOn w:val="a0"/>
    <w:link w:val="a6"/>
    <w:uiPriority w:val="99"/>
    <w:rsid w:val="00121A9E"/>
    <w:rPr>
      <w:sz w:val="18"/>
      <w:szCs w:val="18"/>
    </w:rPr>
  </w:style>
  <w:style w:type="paragraph" w:styleId="a7">
    <w:name w:val="Normal Indent"/>
    <w:basedOn w:val="a"/>
    <w:uiPriority w:val="99"/>
    <w:qFormat/>
    <w:rsid w:val="00121A9E"/>
    <w:pPr>
      <w:ind w:firstLine="630"/>
    </w:pPr>
    <w:rPr>
      <w:kern w:val="0"/>
    </w:rPr>
  </w:style>
  <w:style w:type="paragraph" w:customStyle="1" w:styleId="Default">
    <w:name w:val="Default"/>
    <w:qFormat/>
    <w:rsid w:val="00121A9E"/>
    <w:pPr>
      <w:widowControl w:val="0"/>
      <w:autoSpaceDE w:val="0"/>
      <w:autoSpaceDN w:val="0"/>
      <w:adjustRightInd w:val="0"/>
    </w:pPr>
    <w:rPr>
      <w:rFonts w:ascii="宋体" w:eastAsia="宋体" w:hAnsi="@文星楷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151</Words>
  <Characters>864</Characters>
  <Application>Microsoft Office Word</Application>
  <DocSecurity>0</DocSecurity>
  <Lines>7</Lines>
  <Paragraphs>2</Paragraphs>
  <ScaleCrop>false</ScaleCrop>
  <Company>Microsoft</Company>
  <LinksUpToDate>false</LinksUpToDate>
  <CharactersWithSpaces>1013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Anonymous</cp:lastModifiedBy>
  <cp:revision>3</cp:revision>
  <dcterms:created xsi:type="dcterms:W3CDTF">2022-06-29T09:08:00Z</dcterms:created>
  <dcterms:modified xsi:type="dcterms:W3CDTF">2022-06-29T10:26:00Z</dcterms:modified>
</cp:coreProperties>
</file>