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10"/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10"/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武汉市基层知识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产权保护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工作站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管理办法</w:t>
      </w:r>
    </w:p>
    <w:p>
      <w:pPr>
        <w:pStyle w:val="10"/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修订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pStyle w:val="10"/>
        <w:spacing w:line="640" w:lineRule="exact"/>
        <w:ind w:left="639" w:hanging="681" w:hangingChars="213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numPr>
          <w:ilvl w:val="0"/>
          <w:numId w:val="1"/>
        </w:numPr>
        <w:spacing w:line="640" w:lineRule="exact"/>
        <w:ind w:left="639" w:hanging="681" w:hangingChars="213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总 则</w:t>
      </w:r>
    </w:p>
    <w:p>
      <w:pPr>
        <w:pStyle w:val="10"/>
        <w:numPr>
          <w:ilvl w:val="-1"/>
          <w:numId w:val="0"/>
        </w:numPr>
        <w:spacing w:line="640" w:lineRule="exact"/>
        <w:ind w:left="-447" w:leftChars="-213" w:firstLine="0" w:firstLineChars="0"/>
        <w:jc w:val="both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为深入实施《知识产权强国建设纲要（2021—2035年）》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和《“十四五”国家知识产权保护和运用规划》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加快推进《武汉市知识产权“十四五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规划》和《关于进一步强化全市知识产权保护的具体措施》的具体落实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，健全武汉市知识产权保护体系，加强对全市基层知识产权保护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工作站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（以下简称“工作站”）的业务指导和管理，根据国家知识产权局有关文件精神和《市市场监管局关于印发&lt;全市基层知识产权保护工作站（点）建设实施方案&gt;的通知》（武市监[2019]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号）的要求，制定本办法。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</w:t>
      </w:r>
      <w:r>
        <w:rPr>
          <w:rFonts w:hint="eastAsia" w:ascii="仿宋_GB2312" w:hAnsi="仿宋_GB2312" w:eastAsia="仿宋_GB2312" w:cs="仿宋_GB2312"/>
          <w:sz w:val="32"/>
          <w:szCs w:val="32"/>
        </w:rPr>
        <w:t>市市场监督管理局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（以下简称“市局”）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负责全市各区工作站建设的统筹布局、宏观管理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工作督导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具体工作由市局知识产权保护处承担。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中国（武汉）知识产权保护中心（以下简称“保护中心”）受市局委托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具体承担工作站的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建站考察、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其他相关工作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（以下简称“区局”）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负责工作站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审推荐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指导及协调等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 xml:space="preserve">  工作站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应根据各区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实际，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知识产权需求集中、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工作具备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一定基础的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工业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园区（孵化器）、专业市场、行业协会、会展场所等设立，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所在区域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行业的企业和社会公众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知识产权保护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服务。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工作站的建设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和管理遵循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“市区联动、分级架构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差异发展、协同推进”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原则，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推荐申报、评审认定、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级培育、动态管理的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工作机制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工作站的名称、标识和形象设计由市局统一设定。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工作站的名称一般为“武汉市知识产权保护（XX区XX街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/园区/企业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）工作站”。工作站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标识统一，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一般由“武汉市知识产权保护（XX区XX街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/园区/企业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）工作站”文字加“国家知识产权局机构标志”图案组成。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numPr>
          <w:ilvl w:val="0"/>
          <w:numId w:val="2"/>
        </w:numPr>
        <w:spacing w:line="64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申办条件与工作职责</w:t>
      </w:r>
    </w:p>
    <w:p>
      <w:pPr>
        <w:pStyle w:val="10"/>
        <w:numPr>
          <w:ilvl w:val="-1"/>
          <w:numId w:val="0"/>
        </w:numPr>
        <w:spacing w:line="640" w:lineRule="exact"/>
        <w:jc w:val="both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申请设立工作站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的建站单位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，应具备以下工作条件：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（一）工作站所在区局高度重视知识产权工作，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通过政策支持、资金引导、人员培训等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举措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，支持工作站开展工作，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明确专人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负责工作站指导协调工作;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（二）工作站所属（在）园区或机构高度重视知识产权工作，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保障资金投入和人员配备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工作站的相关工作有序运行；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（三）工作站负责人具有较强的管理能力，熟悉知识产权类相关法律法规、政策及知识产权咨询和信息服务工作；工作人员热爱知识产权事业，态度认真，责任心强，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保护中心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及区局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业务培训考核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（四）工作站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一般设有1-2名专职工作人员；具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有固定的办公场所，面积一般不小于15平方米。配备上网计算机及机位一般不少于3台（套）；根据需要配备网络、打印机、复印机等办公设备；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）工作站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有相对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明确的知识产权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服务对象，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能够建立长期服务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机制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，不断提高服务能力，助力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创新主体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高质量发展。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工作站应结合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区实际，为所在区域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或行业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便捷高效</w:t>
      </w:r>
      <w:r>
        <w:rPr>
          <w:rFonts w:hint="eastAsia" w:ascii="仿宋_GB2312" w:hAnsi="仿宋_GB2312" w:eastAsia="仿宋_GB2312" w:cs="仿宋_GB2312"/>
          <w:sz w:val="32"/>
          <w:szCs w:val="32"/>
        </w:rPr>
        <w:t>的知识产权综合服务。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知识产权宣传培训。组织开展知识产权法律法规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、政策宣讲及业务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培训,提高所在区域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行业知识产权保护意识和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开展知识产权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宣传，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知识产权保护氛围。</w:t>
      </w:r>
    </w:p>
    <w:p>
      <w:pPr>
        <w:pStyle w:val="10"/>
        <w:spacing w:line="560" w:lineRule="exact"/>
        <w:ind w:firstLine="474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知识产权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咨询服务。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知识产权政策法规及业务咨询，为服务对象提供政策指引和业务解答。坚持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开展走访调研，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掌握服务对象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知识产权保护需求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困难，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形成知识产权档案，对接市区两级公共服务资源，形成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快速沟通解决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机制。</w:t>
      </w:r>
    </w:p>
    <w:p>
      <w:pPr>
        <w:pStyle w:val="10"/>
        <w:spacing w:line="560" w:lineRule="exact"/>
        <w:ind w:firstLine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知识产权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业务辅导。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为服务对象提供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知识产权创造、保护、运用及信息检索利用等业务辅导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。引导服务对象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完善知识产权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推动跨区域、跨行业的知识产权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和业务合作。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（四）开展知识产权维权援助。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建立知识产权纠纷处理机制，及时报告知识产权纠纷线索，积极开展知识产权纠纷调解，对接市区两级各类保护资源，实现快速维权。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立足工作站建设主体特点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特色服务。包括但不限于：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1.开展高价值专利、优势商标、优质地理标志等培育引导工作；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2.组织开展供需对接等活动，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</w:rPr>
        <w:t>转化实施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3.协助开展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金融（如质押、保险等）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促进知识产权运用；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协调人民调解、仲裁、公证等相关知识产权保护资源，有效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知识产权纠纷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调解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知识产权纠纷；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协助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开展展会知识产权维权援助服务或协助开展知识产权执法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6.发挥行业引领作用，带动产业链上下游企业知识产权水平提升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等；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海外知识产权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预警及</w:t>
      </w:r>
      <w:r>
        <w:rPr>
          <w:rFonts w:hint="eastAsia" w:ascii="仿宋_GB2312" w:hAnsi="仿宋_GB2312" w:eastAsia="仿宋_GB2312" w:cs="仿宋_GB2312"/>
          <w:sz w:val="32"/>
          <w:szCs w:val="32"/>
        </w:rPr>
        <w:t>维权服务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0"/>
        <w:spacing w:line="560" w:lineRule="exact"/>
        <w:ind w:firstLine="474"/>
        <w:rPr>
          <w:rFonts w:hint="eastAsia" w:ascii="仿宋_GB2312" w:hAnsi="仿宋_GB2312" w:eastAsia="仿宋_GB2312" w:cs="仿宋_GB2312"/>
          <w:color w:val="0070C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其他知识产权特色工作。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工作站应建立并完善以下工作制度：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（一）登记制度。开展、进行的有关知识产权保护工作要及时、完整、规范作记录。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（二）开放制度。工作日免费开放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如有意外情况导致不能正常开放，需提前发布通知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并做好工作日志记载。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（三）对外服务制度。提供“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国家知识产权局</w:t>
      </w:r>
      <w:r>
        <w:rPr>
          <w:rFonts w:hint="eastAsia" w:ascii="仿宋_GB2312" w:hAnsi="仿宋_GB2312" w:eastAsia="仿宋_GB2312" w:cs="仿宋_GB2312"/>
          <w:sz w:val="32"/>
          <w:szCs w:val="32"/>
        </w:rPr>
        <w:t>新一代地方专利检索与分析系统”上机检索、综合查询和下载等对外服务。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（四）企业调研服务制度。配合市局、区局和保护中心，采取现场、上门、电话等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形式，摸清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服务对象的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知识产权需求，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提供精准服务。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（五）保密制度。为纠纷调解、举报投诉、维权援助当事人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专利快速预审服务保密。除当事人同意以外，工作站不得在宣传报道中公开当事人及纠纷调解或维权援助信息。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（六）信息报送制度。定期向市局报告工作站工作情况，包括年度工作计划、工作动态、季度工作信息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媒体宣传信息以</w:t>
      </w:r>
      <w:r>
        <w:rPr>
          <w:rFonts w:hint="eastAsia" w:ascii="仿宋_GB2312" w:hAnsi="仿宋_GB2312" w:eastAsia="仿宋_GB2312" w:cs="仿宋_GB2312"/>
          <w:sz w:val="32"/>
          <w:szCs w:val="32"/>
        </w:rPr>
        <w:t>及年度考核总结等。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（七）学习培训制度。加强对工作人员的业务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培养，不断提高工作人员服务意识，鼓励其精通业务，忠于职守，热情服务，为工作人员参加各项业务培训积极创造条件。 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（八）档案管理制度。相关工作资料整理存档，以备市、区局工作考核和检查。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（九）其他根据有关规定须建立并遵守的制度。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numPr>
          <w:ilvl w:val="0"/>
          <w:numId w:val="2"/>
        </w:numPr>
        <w:spacing w:line="64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认定与管理</w:t>
      </w:r>
    </w:p>
    <w:p>
      <w:pPr>
        <w:pStyle w:val="10"/>
        <w:numPr>
          <w:ilvl w:val="-1"/>
          <w:numId w:val="0"/>
        </w:numPr>
        <w:spacing w:line="640" w:lineRule="exact"/>
        <w:jc w:val="both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工作站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设立由区局向市局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申请，市局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统一认定。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工作站认定工作流程为：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（一）工作站建设主体向所在区局提出建站申请。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）区局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向市局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提交书面申请材料。包括：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区局建站请示；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《武汉市基层知识产权保护工作站申请表》；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3.相关证明材料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：申请主体基本情况、近三年开展知识产权工作主要情况、申请设立工作站的基本条件（组织机构、资金、人员、办公场地、办公环境和制度建设等）；工作站年度工作计划等。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其中，申请表及证明材料一式两份。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）市局组织实地考察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，出具评审意见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公示复核。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对拟设立的工作站进行公示，如有异议的，在接到异议申请之日起15个工作日内由市局组织复核并予以答复。异议成立的，取消认定。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公示期满无异议或异议不成立的，按程序正式批复设立。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市局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、保护中心及区局按照职责分工，对各工作站开展管理和指导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工作站建立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综合评价和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实行动态管理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建立全市工作站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指标体系，对工作站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公示、审定后，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通报；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工作站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有下列情形之一的，由市局批准撤销，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对外公布。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自行退出。工作站在运行过程中，因环境条件变化等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客观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难以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继续开展工作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，可由区局向市局提出书面申请撤销该工作站；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责令退出。存在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明显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且限期内未完成整改的，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或连续两年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不合格，未能发挥职能作用的，由市局决定撤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销</w:t>
      </w:r>
      <w:r>
        <w:rPr>
          <w:rFonts w:hint="eastAsia" w:ascii="仿宋_GB2312" w:hAnsi="仿宋_GB2312" w:eastAsia="仿宋_GB2312" w:cs="仿宋_GB2312"/>
          <w:sz w:val="32"/>
          <w:szCs w:val="32"/>
        </w:rPr>
        <w:t>该工作站。</w:t>
      </w:r>
    </w:p>
    <w:p>
      <w:pPr>
        <w:pStyle w:val="10"/>
        <w:spacing w:line="580" w:lineRule="exact"/>
        <w:ind w:firstLine="63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武汉市基层知识产权保护工作站不得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以工作站名义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从事有偿知识产权服务，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不得以工作站名义从事与知识产权无关的事务。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工作站有下列情形之一的，应当在发生之日起15日内经所在区局报市局备案，并提交相关证明文件：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（一）建站单位名称变更；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（二）工作站地址变更；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（三）因建站单位组织结构变动或股权变更，导致实际控制权转移；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（四）建站单位独立法人资格丧失。</w:t>
      </w: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numPr>
          <w:ilvl w:val="0"/>
          <w:numId w:val="2"/>
        </w:numPr>
        <w:spacing w:line="48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保障和扶持措施</w:t>
      </w:r>
    </w:p>
    <w:p>
      <w:pPr>
        <w:pStyle w:val="10"/>
        <w:numPr>
          <w:ilvl w:val="-1"/>
          <w:numId w:val="0"/>
        </w:numPr>
        <w:spacing w:line="480" w:lineRule="exact"/>
        <w:jc w:val="both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pStyle w:val="1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武汉市知识产权发展资金使用管理办法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综合评价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符合要求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的工作站给予市级财政专项资金资助。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可以配套给</w:t>
      </w:r>
      <w:r>
        <w:rPr>
          <w:rFonts w:hint="eastAsia" w:ascii="仿宋_GB2312" w:hAnsi="仿宋_GB2312" w:eastAsia="仿宋_GB2312" w:cs="仿宋_GB2312"/>
          <w:sz w:val="32"/>
          <w:szCs w:val="32"/>
        </w:rPr>
        <w:t>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工作经费支持。</w:t>
      </w:r>
    </w:p>
    <w:p>
      <w:pPr>
        <w:pStyle w:val="10"/>
        <w:spacing w:line="58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市局推进工作站建设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，支持工作站开展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知识产权保护项目申报、数据资源共享和宣传教育培训等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0"/>
        <w:spacing w:line="58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（一）在同等条件下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优先推荐参加国家、省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相关奖励或项目申报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10"/>
        <w:spacing w:line="58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（二）对于符合使用权限要求的相关文献数据库、信息化建设等资源向工作站开放共享；</w:t>
      </w:r>
    </w:p>
    <w:p>
      <w:pPr>
        <w:pStyle w:val="10"/>
        <w:numPr>
          <w:ilvl w:val="-1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维权援助时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法律咨询、业务指导；</w:t>
      </w:r>
    </w:p>
    <w:p>
      <w:pPr>
        <w:pStyle w:val="10"/>
        <w:spacing w:line="58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）按照工作站培训需求调配骨干师资力量，为工作站开展知识产权保护工作提供培训。</w:t>
      </w:r>
    </w:p>
    <w:p>
      <w:pPr>
        <w:pStyle w:val="10"/>
        <w:spacing w:line="58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）组织参加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相关知识产权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交流和考察活动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10"/>
        <w:spacing w:line="58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其他有关知识产权工作。</w:t>
      </w:r>
    </w:p>
    <w:p>
      <w:pPr>
        <w:pStyle w:val="10"/>
        <w:spacing w:line="58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numPr>
          <w:ilvl w:val="0"/>
          <w:numId w:val="2"/>
        </w:numPr>
        <w:spacing w:line="58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附则</w:t>
      </w:r>
    </w:p>
    <w:p>
      <w:pPr>
        <w:pStyle w:val="10"/>
        <w:numPr>
          <w:ilvl w:val="-1"/>
          <w:numId w:val="0"/>
        </w:numPr>
        <w:spacing w:line="580" w:lineRule="exact"/>
        <w:jc w:val="both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pStyle w:val="1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本办法由市市场监管局负责解释。</w:t>
      </w:r>
    </w:p>
    <w:p>
      <w:pPr>
        <w:pStyle w:val="1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本办法自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</w:t>
      </w:r>
      <w:r>
        <w:rPr>
          <w:rFonts w:hint="eastAsia" w:ascii="仿宋_GB2312" w:hAnsi="仿宋_GB2312" w:eastAsia="仿宋_GB2312" w:cs="仿宋_GB2312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，原《武汉市基层知识产权保护工作站管理办法（试行）》（武市监发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[2019]47号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）同时失效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8BDB"/>
    <w:multiLevelType w:val="singleLevel"/>
    <w:tmpl w:val="229C8BDB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4B64EDCB"/>
    <w:multiLevelType w:val="singleLevel"/>
    <w:tmpl w:val="4B64EDCB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623D7"/>
    <w:rsid w:val="02025147"/>
    <w:rsid w:val="03352C15"/>
    <w:rsid w:val="039433FA"/>
    <w:rsid w:val="03F37DFF"/>
    <w:rsid w:val="057C66E0"/>
    <w:rsid w:val="05BF30C3"/>
    <w:rsid w:val="06846644"/>
    <w:rsid w:val="06BD0D99"/>
    <w:rsid w:val="06D739B8"/>
    <w:rsid w:val="07047E56"/>
    <w:rsid w:val="08314CF2"/>
    <w:rsid w:val="087B7D9C"/>
    <w:rsid w:val="0AE201D2"/>
    <w:rsid w:val="0B3C5C99"/>
    <w:rsid w:val="0C5811D5"/>
    <w:rsid w:val="0D7648E2"/>
    <w:rsid w:val="0E391EFB"/>
    <w:rsid w:val="0E496864"/>
    <w:rsid w:val="0E8B42FD"/>
    <w:rsid w:val="0EF31186"/>
    <w:rsid w:val="0F1919FF"/>
    <w:rsid w:val="10FA78CD"/>
    <w:rsid w:val="11637465"/>
    <w:rsid w:val="11FB092E"/>
    <w:rsid w:val="12E73C6A"/>
    <w:rsid w:val="12FA4EFA"/>
    <w:rsid w:val="132B17C5"/>
    <w:rsid w:val="13BB71A4"/>
    <w:rsid w:val="13CA11C3"/>
    <w:rsid w:val="143B7B73"/>
    <w:rsid w:val="144C593B"/>
    <w:rsid w:val="14883CEA"/>
    <w:rsid w:val="155737D9"/>
    <w:rsid w:val="161B3799"/>
    <w:rsid w:val="168D27C3"/>
    <w:rsid w:val="17C84469"/>
    <w:rsid w:val="1833615A"/>
    <w:rsid w:val="18624A2B"/>
    <w:rsid w:val="19757956"/>
    <w:rsid w:val="1AC2703B"/>
    <w:rsid w:val="1B010EC5"/>
    <w:rsid w:val="1B386647"/>
    <w:rsid w:val="1B5F7F52"/>
    <w:rsid w:val="1D165FE8"/>
    <w:rsid w:val="1D172C7E"/>
    <w:rsid w:val="1D232A04"/>
    <w:rsid w:val="1D8B3EE7"/>
    <w:rsid w:val="1DC058A8"/>
    <w:rsid w:val="1DF12368"/>
    <w:rsid w:val="1F445063"/>
    <w:rsid w:val="1FB35E55"/>
    <w:rsid w:val="201617EC"/>
    <w:rsid w:val="205A5F29"/>
    <w:rsid w:val="220351C4"/>
    <w:rsid w:val="2262574D"/>
    <w:rsid w:val="22B977BB"/>
    <w:rsid w:val="240A78DB"/>
    <w:rsid w:val="24543125"/>
    <w:rsid w:val="249A2565"/>
    <w:rsid w:val="24AA3C4A"/>
    <w:rsid w:val="2589353E"/>
    <w:rsid w:val="26F97A71"/>
    <w:rsid w:val="27F52753"/>
    <w:rsid w:val="289A4FEB"/>
    <w:rsid w:val="29115959"/>
    <w:rsid w:val="2946028D"/>
    <w:rsid w:val="2A202DE8"/>
    <w:rsid w:val="2AF07B80"/>
    <w:rsid w:val="2AFD0612"/>
    <w:rsid w:val="2B9A6718"/>
    <w:rsid w:val="2BBF4600"/>
    <w:rsid w:val="2C1847CB"/>
    <w:rsid w:val="2C1F70CC"/>
    <w:rsid w:val="2CD62CFA"/>
    <w:rsid w:val="2D0A3299"/>
    <w:rsid w:val="2D241CDD"/>
    <w:rsid w:val="2D87398A"/>
    <w:rsid w:val="2DA04875"/>
    <w:rsid w:val="2DAF1F16"/>
    <w:rsid w:val="2E586E43"/>
    <w:rsid w:val="2F116A92"/>
    <w:rsid w:val="2F25663A"/>
    <w:rsid w:val="3008355B"/>
    <w:rsid w:val="303D3A00"/>
    <w:rsid w:val="31BC7994"/>
    <w:rsid w:val="31D8203D"/>
    <w:rsid w:val="31E147C8"/>
    <w:rsid w:val="336848D4"/>
    <w:rsid w:val="342310E4"/>
    <w:rsid w:val="35F21B5C"/>
    <w:rsid w:val="3835113A"/>
    <w:rsid w:val="38E160F7"/>
    <w:rsid w:val="3AE32945"/>
    <w:rsid w:val="3B5B2F46"/>
    <w:rsid w:val="3C4B7DFE"/>
    <w:rsid w:val="3DEC6402"/>
    <w:rsid w:val="3ECA75CE"/>
    <w:rsid w:val="400B1FCC"/>
    <w:rsid w:val="406C0855"/>
    <w:rsid w:val="40CB413B"/>
    <w:rsid w:val="416715BB"/>
    <w:rsid w:val="42CF6D80"/>
    <w:rsid w:val="43821D4B"/>
    <w:rsid w:val="447B42B8"/>
    <w:rsid w:val="44845A0C"/>
    <w:rsid w:val="44AC29AF"/>
    <w:rsid w:val="44AE3807"/>
    <w:rsid w:val="458828DD"/>
    <w:rsid w:val="46F1604A"/>
    <w:rsid w:val="4794414C"/>
    <w:rsid w:val="47E46B41"/>
    <w:rsid w:val="47ED3B54"/>
    <w:rsid w:val="48DE2400"/>
    <w:rsid w:val="494C21B8"/>
    <w:rsid w:val="49576871"/>
    <w:rsid w:val="49A67F6C"/>
    <w:rsid w:val="4A2D0B10"/>
    <w:rsid w:val="4A826F64"/>
    <w:rsid w:val="4AB60601"/>
    <w:rsid w:val="4C7057D3"/>
    <w:rsid w:val="4C9A7F91"/>
    <w:rsid w:val="4CB8544B"/>
    <w:rsid w:val="4E560C57"/>
    <w:rsid w:val="51452932"/>
    <w:rsid w:val="52D13E3F"/>
    <w:rsid w:val="52E41FE4"/>
    <w:rsid w:val="544B224C"/>
    <w:rsid w:val="54B116CD"/>
    <w:rsid w:val="559602E3"/>
    <w:rsid w:val="55CE2F96"/>
    <w:rsid w:val="55CE7D73"/>
    <w:rsid w:val="564448DA"/>
    <w:rsid w:val="56F50266"/>
    <w:rsid w:val="574675EC"/>
    <w:rsid w:val="58332132"/>
    <w:rsid w:val="58CD4E39"/>
    <w:rsid w:val="58EB089A"/>
    <w:rsid w:val="59B1477B"/>
    <w:rsid w:val="59CD1520"/>
    <w:rsid w:val="5BC406F2"/>
    <w:rsid w:val="5CA96DBA"/>
    <w:rsid w:val="5E581BEC"/>
    <w:rsid w:val="5E791F3F"/>
    <w:rsid w:val="5EA4079D"/>
    <w:rsid w:val="5F4A1385"/>
    <w:rsid w:val="5FC717F3"/>
    <w:rsid w:val="621F74F4"/>
    <w:rsid w:val="6267768E"/>
    <w:rsid w:val="626E7CE2"/>
    <w:rsid w:val="63AA4658"/>
    <w:rsid w:val="64232E35"/>
    <w:rsid w:val="64404080"/>
    <w:rsid w:val="66A52898"/>
    <w:rsid w:val="66D13B32"/>
    <w:rsid w:val="66E2632A"/>
    <w:rsid w:val="66FA7580"/>
    <w:rsid w:val="670C3F14"/>
    <w:rsid w:val="67530110"/>
    <w:rsid w:val="68B6119D"/>
    <w:rsid w:val="6A507965"/>
    <w:rsid w:val="6A543BCD"/>
    <w:rsid w:val="6A7D14F5"/>
    <w:rsid w:val="6B0828B6"/>
    <w:rsid w:val="6B9D1A8C"/>
    <w:rsid w:val="6CE24304"/>
    <w:rsid w:val="6D424ED8"/>
    <w:rsid w:val="6E6B0C00"/>
    <w:rsid w:val="6E735F8A"/>
    <w:rsid w:val="6EF22362"/>
    <w:rsid w:val="6F01629D"/>
    <w:rsid w:val="6F2C78C3"/>
    <w:rsid w:val="6F9D3EFE"/>
    <w:rsid w:val="6FEF4EC0"/>
    <w:rsid w:val="72BF352E"/>
    <w:rsid w:val="73E6048F"/>
    <w:rsid w:val="74771FCC"/>
    <w:rsid w:val="752146E5"/>
    <w:rsid w:val="75673BEF"/>
    <w:rsid w:val="780D7834"/>
    <w:rsid w:val="781003B0"/>
    <w:rsid w:val="7A212DF7"/>
    <w:rsid w:val="7AA006E0"/>
    <w:rsid w:val="7BB30CEB"/>
    <w:rsid w:val="7E5F6ED1"/>
    <w:rsid w:val="7EDA507F"/>
    <w:rsid w:val="7F8C72B7"/>
    <w:rsid w:val="7FB706BC"/>
    <w:rsid w:val="7FE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0"/>
    <w:rPr>
      <w:i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3599</Words>
  <Characters>3613</Characters>
  <Paragraphs>77</Paragraphs>
  <TotalTime>2</TotalTime>
  <ScaleCrop>false</ScaleCrop>
  <LinksUpToDate>false</LinksUpToDate>
  <CharactersWithSpaces>3664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2019-11-24T02:10:00Z</dcterms:created>
  <dc:creator>User</dc:creator>
  <cp:lastModifiedBy>Administrator</cp:lastModifiedBy>
  <cp:lastPrinted>2021-12-06T01:23:00Z</cp:lastPrinted>
  <dcterms:modified xsi:type="dcterms:W3CDTF">2022-01-20T06:59:04Z</dcterms:modified>
  <dc:title>武汉市知识产权举报投诉和维权援助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218FFF532ABD4D668398D17AE929AFB5</vt:lpwstr>
  </property>
</Properties>
</file>